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D21AE" w14:textId="521E9FE5" w:rsidR="00A027DA" w:rsidRPr="00727904" w:rsidRDefault="0027568A" w:rsidP="00384DB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7904">
        <w:rPr>
          <w:rFonts w:ascii="Arial" w:hAnsi="Arial" w:cs="Arial"/>
          <w:b/>
          <w:bCs/>
          <w:sz w:val="24"/>
          <w:szCs w:val="24"/>
        </w:rPr>
        <w:t xml:space="preserve">GUÍA PARA ELABORAR EL </w:t>
      </w:r>
      <w:r w:rsidR="00FF46DC" w:rsidRPr="00727904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D5778" w:rsidRPr="00727904">
        <w:rPr>
          <w:rFonts w:ascii="Arial" w:hAnsi="Arial" w:cs="Arial"/>
          <w:b/>
          <w:bCs/>
          <w:sz w:val="24"/>
          <w:szCs w:val="24"/>
        </w:rPr>
        <w:t xml:space="preserve">DE </w:t>
      </w:r>
      <w:r w:rsidR="0064143B" w:rsidRPr="00727904">
        <w:rPr>
          <w:rFonts w:ascii="Arial" w:hAnsi="Arial" w:cs="Arial"/>
          <w:b/>
          <w:bCs/>
          <w:sz w:val="24"/>
          <w:szCs w:val="24"/>
        </w:rPr>
        <w:t xml:space="preserve">RACIONAMIENTO </w:t>
      </w:r>
      <w:r w:rsidR="0064143B" w:rsidRPr="00727904">
        <w:rPr>
          <w:rFonts w:ascii="Arial" w:hAnsi="Arial" w:cs="Arial"/>
          <w:b/>
          <w:bCs/>
          <w:sz w:val="24"/>
          <w:szCs w:val="24"/>
          <w:highlight w:val="yellow"/>
        </w:rPr>
        <w:t>(AÑO)</w:t>
      </w:r>
    </w:p>
    <w:p w14:paraId="0073FB47" w14:textId="77777777" w:rsidR="000B3945" w:rsidRPr="00727904" w:rsidRDefault="000B3945" w:rsidP="000B3945">
      <w:pPr>
        <w:pStyle w:val="Default"/>
        <w:numPr>
          <w:ilvl w:val="0"/>
          <w:numId w:val="1"/>
        </w:numPr>
        <w:rPr>
          <w:b/>
          <w:bCs/>
        </w:rPr>
      </w:pPr>
      <w:r w:rsidRPr="00727904">
        <w:rPr>
          <w:b/>
          <w:bCs/>
        </w:rPr>
        <w:t>Lineamientos generales</w:t>
      </w:r>
    </w:p>
    <w:p w14:paraId="7C7B7CAD" w14:textId="4BABC224" w:rsidR="000B3945" w:rsidRPr="00727904" w:rsidRDefault="000B3945" w:rsidP="002D18DA">
      <w:pPr>
        <w:pStyle w:val="Default"/>
        <w:ind w:left="360"/>
        <w:jc w:val="both"/>
        <w:rPr>
          <w:u w:val="single"/>
        </w:rPr>
      </w:pPr>
      <w:r w:rsidRPr="00727904">
        <w:rPr>
          <w:b/>
          <w:bCs/>
        </w:rPr>
        <w:br/>
        <w:t>1.1 Definición de escenarios</w:t>
      </w:r>
      <w:r w:rsidRPr="00727904">
        <w:t xml:space="preserve">: </w:t>
      </w:r>
      <w:r w:rsidR="00B275CE" w:rsidRPr="00727904">
        <w:t>en apego a la normativa vigente para el racionamiento de energía</w:t>
      </w:r>
      <w:r w:rsidR="0064143B" w:rsidRPr="00727904">
        <w:t xml:space="preserve"> eléctrica, se han establecido</w:t>
      </w:r>
      <w:r w:rsidR="0064143B" w:rsidRPr="00727904">
        <w:rPr>
          <w:highlight w:val="yellow"/>
        </w:rPr>
        <w:t>_____</w:t>
      </w:r>
      <w:r w:rsidR="0064143B" w:rsidRPr="00727904">
        <w:t xml:space="preserve"> e</w:t>
      </w:r>
      <w:r w:rsidR="00B275CE" w:rsidRPr="00727904">
        <w:t xml:space="preserve">scenarios posibles de racionamiento. El primero de </w:t>
      </w:r>
      <w:r w:rsidR="0064143B" w:rsidRPr="00727904">
        <w:rPr>
          <w:highlight w:val="yellow"/>
        </w:rPr>
        <w:t>____</w:t>
      </w:r>
      <w:r w:rsidR="00B275CE" w:rsidRPr="00727904">
        <w:t xml:space="preserve"> MW y el segundo de </w:t>
      </w:r>
      <w:r w:rsidR="0064143B" w:rsidRPr="00727904">
        <w:rPr>
          <w:highlight w:val="yellow"/>
        </w:rPr>
        <w:t>____</w:t>
      </w:r>
      <w:r w:rsidR="00B275CE" w:rsidRPr="00727904">
        <w:t xml:space="preserve"> MW </w:t>
      </w:r>
      <w:r w:rsidR="00B275CE" w:rsidRPr="00727904">
        <w:rPr>
          <w:u w:val="single"/>
        </w:rPr>
        <w:t>en adición</w:t>
      </w:r>
      <w:r w:rsidR="00B275CE" w:rsidRPr="00727904">
        <w:t xml:space="preserve"> al primero de </w:t>
      </w:r>
      <w:r w:rsidR="0064143B" w:rsidRPr="00727904">
        <w:rPr>
          <w:highlight w:val="yellow"/>
        </w:rPr>
        <w:t>____</w:t>
      </w:r>
      <w:r w:rsidR="00B275CE" w:rsidRPr="00727904">
        <w:t xml:space="preserve"> MW</w:t>
      </w:r>
      <w:r w:rsidR="00B275CE" w:rsidRPr="00727904">
        <w:rPr>
          <w:u w:val="single"/>
        </w:rPr>
        <w:t>.</w:t>
      </w:r>
      <w:r w:rsidR="0064143B" w:rsidRPr="00727904">
        <w:rPr>
          <w:u w:val="single"/>
        </w:rPr>
        <w:t xml:space="preserve"> (Nota: pueden incluirse más bloques de acuerdo a la estrategia de racionamiento definida)</w:t>
      </w:r>
    </w:p>
    <w:p w14:paraId="286AE74B" w14:textId="461B8019" w:rsidR="000B3945" w:rsidRPr="00727904" w:rsidRDefault="000B3945" w:rsidP="000B3945">
      <w:pPr>
        <w:pStyle w:val="Default"/>
        <w:ind w:left="360"/>
        <w:jc w:val="both"/>
      </w:pPr>
      <w:bookmarkStart w:id="0" w:name="_GoBack"/>
      <w:bookmarkEnd w:id="0"/>
      <w:r w:rsidRPr="00727904">
        <w:br/>
      </w:r>
      <w:r w:rsidRPr="00727904">
        <w:rPr>
          <w:b/>
          <w:bCs/>
        </w:rPr>
        <w:t>1.2 Horario primer escenario</w:t>
      </w:r>
      <w:r w:rsidRPr="00727904">
        <w:t xml:space="preserve">: de aplicarse el primer escenario de </w:t>
      </w:r>
      <w:r w:rsidR="0064143B" w:rsidRPr="00727904">
        <w:rPr>
          <w:highlight w:val="yellow"/>
        </w:rPr>
        <w:t>___</w:t>
      </w:r>
      <w:r w:rsidR="0064143B" w:rsidRPr="00727904">
        <w:t>MW, se inicia</w:t>
      </w:r>
      <w:r w:rsidRPr="00727904">
        <w:t xml:space="preserve"> a las </w:t>
      </w:r>
      <w:r w:rsidR="0064143B" w:rsidRPr="00727904">
        <w:softHyphen/>
      </w:r>
      <w:r w:rsidR="0064143B" w:rsidRPr="00727904">
        <w:softHyphen/>
      </w:r>
      <w:r w:rsidR="0064143B" w:rsidRPr="00727904">
        <w:rPr>
          <w:highlight w:val="yellow"/>
        </w:rPr>
        <w:t>___</w:t>
      </w:r>
      <w:r w:rsidR="0064143B" w:rsidRPr="00727904">
        <w:t>horas y finaliza</w:t>
      </w:r>
      <w:r w:rsidRPr="00727904">
        <w:t xml:space="preserve"> hasta las </w:t>
      </w:r>
      <w:r w:rsidR="0064143B" w:rsidRPr="00727904">
        <w:rPr>
          <w:highlight w:val="yellow"/>
        </w:rPr>
        <w:t>____</w:t>
      </w:r>
      <w:r w:rsidRPr="00727904">
        <w:t xml:space="preserve"> horas. Se pretende abarcar las horas de mayor demanda para obtener el beneficio adicional de una reducción de potencia.</w:t>
      </w:r>
    </w:p>
    <w:p w14:paraId="28380396" w14:textId="7A3BAE46" w:rsidR="000B3945" w:rsidRPr="00727904" w:rsidRDefault="000B3945" w:rsidP="000B3945">
      <w:pPr>
        <w:pStyle w:val="Default"/>
        <w:ind w:left="360"/>
        <w:jc w:val="both"/>
      </w:pPr>
      <w:r w:rsidRPr="00727904">
        <w:br/>
      </w:r>
      <w:r w:rsidRPr="00727904">
        <w:rPr>
          <w:b/>
          <w:bCs/>
        </w:rPr>
        <w:t xml:space="preserve">1.3 Horario segundo escenario: </w:t>
      </w:r>
      <w:r w:rsidRPr="00727904">
        <w:t xml:space="preserve">de aplicarse el segundo escenario de </w:t>
      </w:r>
      <w:r w:rsidR="0064143B" w:rsidRPr="00727904">
        <w:rPr>
          <w:highlight w:val="yellow"/>
        </w:rPr>
        <w:t>___</w:t>
      </w:r>
      <w:r w:rsidRPr="00727904">
        <w:t xml:space="preserve"> MW, debe respetarse el horario indicado en numeral 1.2 para los primeros </w:t>
      </w:r>
      <w:r w:rsidR="0064143B" w:rsidRPr="00727904">
        <w:rPr>
          <w:highlight w:val="yellow"/>
        </w:rPr>
        <w:t>___</w:t>
      </w:r>
      <w:r w:rsidR="0064143B" w:rsidRPr="00727904">
        <w:t xml:space="preserve"> MW y para los restantes</w:t>
      </w:r>
      <w:r w:rsidR="0064143B" w:rsidRPr="00727904">
        <w:rPr>
          <w:highlight w:val="yellow"/>
        </w:rPr>
        <w:t>___</w:t>
      </w:r>
      <w:r w:rsidR="0064143B" w:rsidRPr="00727904">
        <w:t xml:space="preserve"> MW, se inicia</w:t>
      </w:r>
      <w:r w:rsidRPr="00727904">
        <w:t xml:space="preserve"> a </w:t>
      </w:r>
      <w:r w:rsidR="0064143B" w:rsidRPr="00727904">
        <w:t xml:space="preserve">las </w:t>
      </w:r>
      <w:r w:rsidR="0064143B" w:rsidRPr="00727904">
        <w:rPr>
          <w:highlight w:val="yellow"/>
        </w:rPr>
        <w:t>___</w:t>
      </w:r>
      <w:r w:rsidR="0064143B" w:rsidRPr="00727904">
        <w:t>horas y finaliza</w:t>
      </w:r>
      <w:r w:rsidRPr="00727904">
        <w:t xml:space="preserve"> a las </w:t>
      </w:r>
      <w:r w:rsidR="0064143B" w:rsidRPr="00727904">
        <w:rPr>
          <w:highlight w:val="yellow"/>
        </w:rPr>
        <w:t>___</w:t>
      </w:r>
      <w:r w:rsidR="0064143B" w:rsidRPr="00727904">
        <w:t xml:space="preserve"> </w:t>
      </w:r>
      <w:r w:rsidRPr="00727904">
        <w:t>horas.</w:t>
      </w:r>
    </w:p>
    <w:p w14:paraId="07EE5515" w14:textId="4B615662" w:rsidR="00DA7E26" w:rsidRPr="00727904" w:rsidRDefault="000B3945" w:rsidP="000B3945">
      <w:pPr>
        <w:pStyle w:val="Default"/>
        <w:ind w:left="360"/>
        <w:jc w:val="both"/>
      </w:pPr>
      <w:r w:rsidRPr="00727904">
        <w:br/>
      </w:r>
      <w:r w:rsidRPr="00727904">
        <w:rPr>
          <w:b/>
          <w:bCs/>
        </w:rPr>
        <w:t>1.4 Demandas por Empresa</w:t>
      </w:r>
      <w:r w:rsidRPr="00727904">
        <w:t xml:space="preserve">: de acuerdo a los escenarios que se han establecido, las demandas que les corresponde a cada </w:t>
      </w:r>
      <w:r w:rsidR="00C46E6C" w:rsidRPr="00727904">
        <w:t>distribuidora de energía eléctrica</w:t>
      </w:r>
      <w:r w:rsidRPr="00727904">
        <w:t xml:space="preserve"> se detallan a continuación. Es importante destacar que dichas demandas obedecen a la proporcionalidad en ventas </w:t>
      </w:r>
      <w:r w:rsidR="00B275CE" w:rsidRPr="00727904">
        <w:t xml:space="preserve">totales </w:t>
      </w:r>
      <w:r w:rsidRPr="00727904">
        <w:t xml:space="preserve">de energía oficialmente registrada por cada </w:t>
      </w:r>
      <w:r w:rsidR="00C46E6C" w:rsidRPr="00727904">
        <w:t xml:space="preserve">distribuidora de energía eléctrica </w:t>
      </w:r>
      <w:r w:rsidR="0064143B" w:rsidRPr="00727904">
        <w:t xml:space="preserve">durante el año </w:t>
      </w:r>
      <w:r w:rsidR="0064143B" w:rsidRPr="00727904">
        <w:rPr>
          <w:highlight w:val="yellow"/>
        </w:rPr>
        <w:t>_____</w:t>
      </w:r>
      <w:r w:rsidR="00DA7E26" w:rsidRPr="00727904">
        <w:rPr>
          <w:highlight w:val="yellow"/>
        </w:rPr>
        <w:t>.</w:t>
      </w:r>
    </w:p>
    <w:p w14:paraId="62FEBA15" w14:textId="3A5AD6E7" w:rsidR="000B3945" w:rsidRPr="00727904" w:rsidRDefault="00DA7E26" w:rsidP="00D204B5">
      <w:pPr>
        <w:pStyle w:val="Default"/>
        <w:ind w:left="360"/>
        <w:jc w:val="both"/>
      </w:pPr>
      <w:r w:rsidRPr="00727904">
        <w:t xml:space="preserve"> </w:t>
      </w:r>
    </w:p>
    <w:p w14:paraId="6135B009" w14:textId="77777777" w:rsidR="00633215" w:rsidRPr="00727904" w:rsidRDefault="00633215" w:rsidP="00633215">
      <w:pPr>
        <w:pStyle w:val="Default"/>
        <w:ind w:left="360"/>
        <w:jc w:val="center"/>
        <w:rPr>
          <w:b/>
        </w:rPr>
      </w:pPr>
      <w:r w:rsidRPr="00727904">
        <w:rPr>
          <w:b/>
        </w:rPr>
        <w:t>Tabla 1: Bloques de demanda a racionar</w:t>
      </w:r>
    </w:p>
    <w:tbl>
      <w:tblPr>
        <w:tblW w:w="4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1322"/>
        <w:gridCol w:w="1538"/>
      </w:tblGrid>
      <w:tr w:rsidR="002F6FEA" w:rsidRPr="00727904" w14:paraId="5D66A5AC" w14:textId="77777777" w:rsidTr="00CB686B">
        <w:trPr>
          <w:trHeight w:val="300"/>
          <w:jc w:val="center"/>
        </w:trPr>
        <w:tc>
          <w:tcPr>
            <w:tcW w:w="2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14:paraId="63AF4580" w14:textId="77777777" w:rsidR="002F6FEA" w:rsidRPr="00727904" w:rsidRDefault="002F6FEA" w:rsidP="002F6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Empresa Eléctrica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560A1F7B" w14:textId="77777777" w:rsidR="002F6FEA" w:rsidRPr="00727904" w:rsidRDefault="002F6FEA" w:rsidP="002F6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Bloques de demanda</w:t>
            </w:r>
          </w:p>
        </w:tc>
      </w:tr>
      <w:tr w:rsidR="00987E82" w:rsidRPr="00727904" w14:paraId="7034BCF3" w14:textId="77777777" w:rsidTr="00CB686B">
        <w:trPr>
          <w:trHeight w:val="300"/>
          <w:jc w:val="center"/>
        </w:trPr>
        <w:tc>
          <w:tcPr>
            <w:tcW w:w="2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9BBB59" w:themeFill="accent3"/>
            <w:vAlign w:val="center"/>
            <w:hideMark/>
          </w:tcPr>
          <w:p w14:paraId="45EE9837" w14:textId="77777777" w:rsidR="00987E82" w:rsidRPr="00727904" w:rsidRDefault="00987E82" w:rsidP="0098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D5262EC" w14:textId="07789C71" w:rsidR="00987E82" w:rsidRPr="00727904" w:rsidRDefault="0064143B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s-CR"/>
              </w:rPr>
              <w:t>_____</w:t>
            </w:r>
            <w:r w:rsidR="00987E82"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MW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0CA9FBFC" w14:textId="031F8D9A" w:rsidR="00987E82" w:rsidRPr="00727904" w:rsidRDefault="0064143B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s-CR"/>
              </w:rPr>
              <w:t>____</w:t>
            </w:r>
            <w:r w:rsidR="00987E82"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MW</w:t>
            </w:r>
          </w:p>
        </w:tc>
      </w:tr>
      <w:tr w:rsidR="00987E82" w:rsidRPr="00727904" w14:paraId="2A1DB283" w14:textId="77777777" w:rsidTr="00CB686B">
        <w:trPr>
          <w:trHeight w:val="300"/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E47" w14:textId="77777777" w:rsidR="00987E82" w:rsidRPr="00727904" w:rsidRDefault="00987E82" w:rsidP="0098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ICE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E821" w14:textId="3AAFC7F3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307C4" w14:textId="6C880EE1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7C5CEC54" w14:textId="77777777" w:rsidTr="00CB686B">
        <w:trPr>
          <w:trHeight w:val="300"/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09EE" w14:textId="77777777" w:rsidR="00987E82" w:rsidRPr="00727904" w:rsidRDefault="00987E82" w:rsidP="0098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CNFL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CE19" w14:textId="1E288D25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A585D" w14:textId="04968993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31A804BF" w14:textId="77777777" w:rsidTr="00CB686B">
        <w:trPr>
          <w:trHeight w:val="300"/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5F29" w14:textId="30C35F38" w:rsidR="00987E82" w:rsidRPr="00727904" w:rsidRDefault="00987E82" w:rsidP="0098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JASEC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5920" w14:textId="7698482E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5E111" w14:textId="14BB7586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1D5B9FE4" w14:textId="77777777" w:rsidTr="00CB686B">
        <w:trPr>
          <w:trHeight w:val="300"/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660" w14:textId="746E9C50" w:rsidR="00987E82" w:rsidRPr="00727904" w:rsidRDefault="00987E82" w:rsidP="0098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ESPH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E330" w14:textId="24AD24C7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E78C4" w14:textId="4B15F6E2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7A8E800C" w14:textId="77777777" w:rsidTr="00CB686B">
        <w:trPr>
          <w:trHeight w:val="300"/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982" w14:textId="77777777" w:rsidR="00987E82" w:rsidRPr="00727904" w:rsidRDefault="00987E82" w:rsidP="0098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COOPEGUANCASTE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8C3D" w14:textId="49329A73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EDC1A" w14:textId="2168B69E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79198246" w14:textId="77777777" w:rsidTr="00CB686B">
        <w:trPr>
          <w:trHeight w:val="300"/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BD0" w14:textId="77777777" w:rsidR="00987E82" w:rsidRPr="00727904" w:rsidRDefault="00987E82" w:rsidP="0098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COOPELESCA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435B" w14:textId="247DC284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4B6E6" w14:textId="355BF975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33EAB7ED" w14:textId="77777777" w:rsidTr="00CB686B">
        <w:trPr>
          <w:trHeight w:val="300"/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6C5" w14:textId="77777777" w:rsidR="00987E82" w:rsidRPr="00727904" w:rsidRDefault="00987E82" w:rsidP="0098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COOPESANTOS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D0C5" w14:textId="06CF9B5E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70369" w14:textId="079C0099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73BFC04E" w14:textId="77777777" w:rsidTr="00CB686B">
        <w:trPr>
          <w:trHeight w:val="315"/>
          <w:jc w:val="center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BE56" w14:textId="77777777" w:rsidR="00987E82" w:rsidRPr="00727904" w:rsidRDefault="00987E82" w:rsidP="0098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COOPEALFARO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CEC5" w14:textId="310BA4F6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13A1F" w14:textId="658817F3" w:rsidR="00987E82" w:rsidRPr="00727904" w:rsidRDefault="00987E82" w:rsidP="0098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1ECC0A9D" w14:textId="426F62F5" w:rsidR="000B3945" w:rsidRPr="00727904" w:rsidRDefault="00A027DA" w:rsidP="0091494B">
      <w:pPr>
        <w:jc w:val="both"/>
        <w:rPr>
          <w:rStyle w:val="fontstyle21"/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sz w:val="24"/>
          <w:szCs w:val="24"/>
        </w:rPr>
        <w:br w:type="page"/>
      </w:r>
      <w:r w:rsidR="000B3945" w:rsidRPr="00727904">
        <w:rPr>
          <w:rFonts w:ascii="Arial" w:hAnsi="Arial" w:cs="Arial"/>
          <w:b/>
          <w:sz w:val="24"/>
          <w:szCs w:val="24"/>
        </w:rPr>
        <w:lastRenderedPageBreak/>
        <w:t>1.</w:t>
      </w:r>
      <w:r w:rsidR="00180B7D" w:rsidRPr="00727904">
        <w:rPr>
          <w:rFonts w:ascii="Arial" w:hAnsi="Arial" w:cs="Arial"/>
          <w:b/>
          <w:sz w:val="24"/>
          <w:szCs w:val="24"/>
        </w:rPr>
        <w:t>5</w:t>
      </w:r>
      <w:r w:rsidR="000B3945" w:rsidRPr="00727904">
        <w:rPr>
          <w:rFonts w:ascii="Arial" w:hAnsi="Arial" w:cs="Arial"/>
          <w:b/>
          <w:sz w:val="24"/>
          <w:szCs w:val="24"/>
        </w:rPr>
        <w:t xml:space="preserve"> Valor requerido de la demanda en el tiempo</w:t>
      </w:r>
      <w:r w:rsidR="000B3945" w:rsidRPr="00727904">
        <w:rPr>
          <w:rFonts w:ascii="Arial" w:hAnsi="Arial" w:cs="Arial"/>
          <w:b/>
          <w:bCs/>
          <w:sz w:val="24"/>
          <w:szCs w:val="24"/>
        </w:rPr>
        <w:t>:</w:t>
      </w:r>
      <w:r w:rsidR="00DA7E26" w:rsidRPr="00727904">
        <w:rPr>
          <w:rStyle w:val="fontstyle21"/>
          <w:rFonts w:ascii="Arial" w:hAnsi="Arial" w:cs="Arial"/>
          <w:sz w:val="24"/>
          <w:szCs w:val="24"/>
        </w:rPr>
        <w:t xml:space="preserve"> las demandas indicadas en la T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>abla</w:t>
      </w:r>
      <w:r w:rsidR="00884CE3" w:rsidRPr="00727904">
        <w:rPr>
          <w:rStyle w:val="fontstyle21"/>
          <w:rFonts w:ascii="Arial" w:hAnsi="Arial" w:cs="Arial"/>
          <w:sz w:val="24"/>
          <w:szCs w:val="24"/>
        </w:rPr>
        <w:t xml:space="preserve"> 1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 xml:space="preserve"> deben de aplicarse entendiéndose como </w:t>
      </w:r>
      <w:r w:rsidR="000B3945" w:rsidRPr="00727904">
        <w:rPr>
          <w:rStyle w:val="fontstyle21"/>
          <w:rFonts w:ascii="Arial" w:hAnsi="Arial" w:cs="Arial"/>
          <w:sz w:val="24"/>
          <w:szCs w:val="24"/>
          <w:u w:val="single"/>
        </w:rPr>
        <w:t>el mínimo de potencia a lo largo del</w:t>
      </w:r>
      <w:r w:rsidR="00B64A19" w:rsidRPr="00727904">
        <w:rPr>
          <w:rStyle w:val="fontstyle21"/>
          <w:rFonts w:ascii="Arial" w:hAnsi="Arial" w:cs="Arial"/>
          <w:sz w:val="24"/>
          <w:szCs w:val="24"/>
          <w:u w:val="single"/>
        </w:rPr>
        <w:t xml:space="preserve"> </w:t>
      </w:r>
      <w:r w:rsidR="00E85967" w:rsidRPr="00727904">
        <w:rPr>
          <w:rStyle w:val="fontstyle21"/>
          <w:rFonts w:ascii="Arial" w:hAnsi="Arial" w:cs="Arial"/>
          <w:sz w:val="24"/>
          <w:szCs w:val="24"/>
          <w:u w:val="single"/>
        </w:rPr>
        <w:t>periodo indicado</w:t>
      </w:r>
      <w:r w:rsidR="00E85967" w:rsidRPr="00727904">
        <w:rPr>
          <w:rStyle w:val="fontstyle21"/>
          <w:rFonts w:ascii="Arial" w:hAnsi="Arial" w:cs="Arial"/>
          <w:sz w:val="24"/>
          <w:szCs w:val="24"/>
        </w:rPr>
        <w:t xml:space="preserve"> según el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 xml:space="preserve"> perfil de carga </w:t>
      </w:r>
      <w:r w:rsidR="007D6BAE" w:rsidRPr="00727904">
        <w:rPr>
          <w:rStyle w:val="fontstyle21"/>
          <w:rFonts w:ascii="Arial" w:hAnsi="Arial" w:cs="Arial"/>
          <w:sz w:val="24"/>
          <w:szCs w:val="24"/>
        </w:rPr>
        <w:t>de</w:t>
      </w:r>
      <w:r w:rsidR="00E85967" w:rsidRPr="00727904">
        <w:rPr>
          <w:rStyle w:val="fontstyle21"/>
          <w:rFonts w:ascii="Arial" w:hAnsi="Arial" w:cs="Arial"/>
          <w:sz w:val="24"/>
          <w:szCs w:val="24"/>
        </w:rPr>
        <w:t xml:space="preserve"> cada circuito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 xml:space="preserve"> a racionar</w:t>
      </w:r>
      <w:r w:rsidR="00FA5670" w:rsidRPr="00727904">
        <w:rPr>
          <w:rStyle w:val="fontstyle21"/>
          <w:rFonts w:ascii="Arial" w:hAnsi="Arial" w:cs="Arial"/>
          <w:sz w:val="24"/>
          <w:szCs w:val="24"/>
        </w:rPr>
        <w:t xml:space="preserve"> y no el promedio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>. Lo anterior se solicita</w:t>
      </w:r>
      <w:r w:rsidR="00B64A19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>debido a que</w:t>
      </w:r>
      <w:r w:rsidR="00884CE3" w:rsidRPr="00727904">
        <w:rPr>
          <w:rStyle w:val="fontstyle21"/>
          <w:rFonts w:ascii="Arial" w:hAnsi="Arial" w:cs="Arial"/>
          <w:sz w:val="24"/>
          <w:szCs w:val="24"/>
        </w:rPr>
        <w:t xml:space="preserve"> la carga de los circuitos varía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 xml:space="preserve"> durante el periodo de racionamiento, por lo que debe</w:t>
      </w:r>
      <w:r w:rsidR="00B64A19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>asegurarse en todo momento racionar como mínimo el valor indicado.</w:t>
      </w:r>
      <w:r w:rsidR="001166B9" w:rsidRPr="00727904">
        <w:rPr>
          <w:rStyle w:val="fontstyle21"/>
          <w:rFonts w:ascii="Arial" w:hAnsi="Arial" w:cs="Arial"/>
          <w:sz w:val="24"/>
          <w:szCs w:val="24"/>
        </w:rPr>
        <w:t xml:space="preserve"> Así, aunque los perfiles brindados por las empresas </w:t>
      </w:r>
      <w:r w:rsidR="00884CE3" w:rsidRPr="00727904">
        <w:rPr>
          <w:rStyle w:val="fontstyle21"/>
          <w:rFonts w:ascii="Arial" w:hAnsi="Arial" w:cs="Arial"/>
          <w:sz w:val="24"/>
          <w:szCs w:val="24"/>
        </w:rPr>
        <w:t>eléctric</w:t>
      </w:r>
      <w:r w:rsidR="001166B9" w:rsidRPr="00727904">
        <w:rPr>
          <w:rStyle w:val="fontstyle21"/>
          <w:rFonts w:ascii="Arial" w:hAnsi="Arial" w:cs="Arial"/>
          <w:sz w:val="24"/>
          <w:szCs w:val="24"/>
        </w:rPr>
        <w:t xml:space="preserve">as </w:t>
      </w:r>
      <w:r w:rsidR="00884CE3" w:rsidRPr="00727904">
        <w:rPr>
          <w:rStyle w:val="fontstyle21"/>
          <w:rFonts w:ascii="Arial" w:hAnsi="Arial" w:cs="Arial"/>
          <w:sz w:val="24"/>
          <w:szCs w:val="24"/>
        </w:rPr>
        <w:t>se declaran</w:t>
      </w:r>
      <w:r w:rsidR="001166B9" w:rsidRPr="00727904">
        <w:rPr>
          <w:rStyle w:val="fontstyle21"/>
          <w:rFonts w:ascii="Arial" w:hAnsi="Arial" w:cs="Arial"/>
          <w:sz w:val="24"/>
          <w:szCs w:val="24"/>
        </w:rPr>
        <w:t xml:space="preserve"> en períodos de 15 minutos, el programa está definido en</w:t>
      </w:r>
      <w:r w:rsidR="00884CE3" w:rsidRPr="00727904">
        <w:rPr>
          <w:rStyle w:val="fontstyle21"/>
          <w:rFonts w:ascii="Arial" w:hAnsi="Arial" w:cs="Arial"/>
          <w:sz w:val="24"/>
          <w:szCs w:val="24"/>
        </w:rPr>
        <w:t xml:space="preserve"> períodos</w:t>
      </w:r>
      <w:r w:rsidR="001166B9" w:rsidRPr="00727904">
        <w:rPr>
          <w:rStyle w:val="fontstyle21"/>
          <w:rFonts w:ascii="Arial" w:hAnsi="Arial" w:cs="Arial"/>
          <w:sz w:val="24"/>
          <w:szCs w:val="24"/>
        </w:rPr>
        <w:t xml:space="preserve"> hora</w:t>
      </w:r>
      <w:r w:rsidR="00884CE3" w:rsidRPr="00727904">
        <w:rPr>
          <w:rStyle w:val="fontstyle21"/>
          <w:rFonts w:ascii="Arial" w:hAnsi="Arial" w:cs="Arial"/>
          <w:sz w:val="24"/>
          <w:szCs w:val="24"/>
        </w:rPr>
        <w:t>rio</w:t>
      </w:r>
      <w:r w:rsidR="00E17134" w:rsidRPr="00727904">
        <w:rPr>
          <w:rStyle w:val="fontstyle21"/>
          <w:rFonts w:ascii="Arial" w:hAnsi="Arial" w:cs="Arial"/>
          <w:sz w:val="24"/>
          <w:szCs w:val="24"/>
        </w:rPr>
        <w:t>s; por lo tanto, debe</w:t>
      </w:r>
      <w:r w:rsidR="001166B9" w:rsidRPr="00727904">
        <w:rPr>
          <w:rStyle w:val="fontstyle21"/>
          <w:rFonts w:ascii="Arial" w:hAnsi="Arial" w:cs="Arial"/>
          <w:sz w:val="24"/>
          <w:szCs w:val="24"/>
        </w:rPr>
        <w:t xml:space="preserve"> declararse en el programa el menor de los cuatro períodos de </w:t>
      </w:r>
      <w:r w:rsidR="00884CE3" w:rsidRPr="00727904">
        <w:rPr>
          <w:rStyle w:val="fontstyle21"/>
          <w:rFonts w:ascii="Arial" w:hAnsi="Arial" w:cs="Arial"/>
          <w:sz w:val="24"/>
          <w:szCs w:val="24"/>
        </w:rPr>
        <w:t>cad</w:t>
      </w:r>
      <w:r w:rsidR="001166B9" w:rsidRPr="00727904">
        <w:rPr>
          <w:rStyle w:val="fontstyle21"/>
          <w:rFonts w:ascii="Arial" w:hAnsi="Arial" w:cs="Arial"/>
          <w:sz w:val="24"/>
          <w:szCs w:val="24"/>
        </w:rPr>
        <w:t>a hora.</w:t>
      </w:r>
      <w:r w:rsidR="00633215" w:rsidRPr="00727904">
        <w:rPr>
          <w:rStyle w:val="fontstyle21"/>
          <w:rFonts w:ascii="Arial" w:hAnsi="Arial" w:cs="Arial"/>
          <w:sz w:val="24"/>
          <w:szCs w:val="24"/>
        </w:rPr>
        <w:t xml:space="preserve"> Las energías que resulten de la aplicación del programa y</w:t>
      </w:r>
      <w:r w:rsidR="00B64A19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>racionen por encima de la magnitud de demanda solicitada, de acuerdo a cada perfil de circuito,</w:t>
      </w:r>
      <w:r w:rsidR="00B64A19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>están siendo consideradas como un factor de seguridad, lo que potencialmente redundaría en un</w:t>
      </w:r>
      <w:r w:rsidR="00B64A19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 xml:space="preserve">racionamiento </w:t>
      </w:r>
      <w:r w:rsidR="00E17134" w:rsidRPr="00727904">
        <w:rPr>
          <w:rStyle w:val="fontstyle21"/>
          <w:rFonts w:ascii="Arial" w:hAnsi="Arial" w:cs="Arial"/>
          <w:sz w:val="24"/>
          <w:szCs w:val="24"/>
        </w:rPr>
        <w:t>de menor duración a</w:t>
      </w:r>
      <w:r w:rsidR="000B3945" w:rsidRPr="00727904">
        <w:rPr>
          <w:rStyle w:val="fontstyle21"/>
          <w:rFonts w:ascii="Arial" w:hAnsi="Arial" w:cs="Arial"/>
          <w:sz w:val="24"/>
          <w:szCs w:val="24"/>
        </w:rPr>
        <w:t xml:space="preserve"> lo previsto.</w:t>
      </w:r>
    </w:p>
    <w:p w14:paraId="14BFF77D" w14:textId="6A8CEA33" w:rsidR="000B3945" w:rsidRPr="00727904" w:rsidRDefault="000B3945" w:rsidP="00D204B5">
      <w:pPr>
        <w:jc w:val="both"/>
        <w:rPr>
          <w:rStyle w:val="fontstyle21"/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bCs/>
          <w:sz w:val="24"/>
          <w:szCs w:val="24"/>
        </w:rPr>
        <w:t>1.</w:t>
      </w:r>
      <w:r w:rsidR="00180B7D" w:rsidRPr="00727904">
        <w:rPr>
          <w:rFonts w:ascii="Arial" w:hAnsi="Arial" w:cs="Arial"/>
          <w:b/>
          <w:bCs/>
          <w:sz w:val="24"/>
          <w:szCs w:val="24"/>
        </w:rPr>
        <w:t>6</w:t>
      </w:r>
      <w:r w:rsidRPr="00727904">
        <w:rPr>
          <w:rFonts w:ascii="Arial" w:hAnsi="Arial" w:cs="Arial"/>
          <w:b/>
          <w:bCs/>
          <w:sz w:val="24"/>
          <w:szCs w:val="24"/>
        </w:rPr>
        <w:t xml:space="preserve"> Días de racionamiento:</w:t>
      </w:r>
      <w:r w:rsidRPr="00727904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 xml:space="preserve">dentro de los análisis efectuados se tiene considerado </w:t>
      </w:r>
      <w:r w:rsidR="00180B7D" w:rsidRPr="00727904">
        <w:rPr>
          <w:rStyle w:val="fontstyle21"/>
          <w:rFonts w:ascii="Arial" w:hAnsi="Arial" w:cs="Arial"/>
          <w:sz w:val="24"/>
          <w:szCs w:val="24"/>
        </w:rPr>
        <w:t>que,</w:t>
      </w:r>
      <w:r w:rsidRPr="00727904">
        <w:rPr>
          <w:rStyle w:val="fontstyle21"/>
          <w:rFonts w:ascii="Arial" w:hAnsi="Arial" w:cs="Arial"/>
          <w:sz w:val="24"/>
          <w:szCs w:val="24"/>
        </w:rPr>
        <w:t xml:space="preserve"> en la</w:t>
      </w:r>
      <w:r w:rsidR="00B64A19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 xml:space="preserve">eventualidad de llegarse a un racionamiento, </w:t>
      </w:r>
      <w:r w:rsidR="0064143B" w:rsidRPr="00727904">
        <w:rPr>
          <w:rStyle w:val="fontstyle21"/>
          <w:rFonts w:ascii="Arial" w:hAnsi="Arial" w:cs="Arial"/>
          <w:sz w:val="24"/>
          <w:szCs w:val="24"/>
        </w:rPr>
        <w:t>este puede ser</w:t>
      </w:r>
      <w:r w:rsidR="00155A73">
        <w:rPr>
          <w:rStyle w:val="fontstyle21"/>
          <w:rFonts w:ascii="Arial" w:hAnsi="Arial" w:cs="Arial"/>
          <w:sz w:val="24"/>
          <w:szCs w:val="24"/>
        </w:rPr>
        <w:t xml:space="preserve"> efectivo de </w:t>
      </w:r>
      <w:r w:rsidR="00155A73" w:rsidRPr="00155A73">
        <w:rPr>
          <w:rStyle w:val="fontstyle21"/>
          <w:rFonts w:ascii="Arial" w:hAnsi="Arial" w:cs="Arial"/>
          <w:sz w:val="24"/>
          <w:szCs w:val="24"/>
          <w:highlight w:val="yellow"/>
        </w:rPr>
        <w:t>día</w:t>
      </w:r>
      <w:r w:rsidRPr="00155A73">
        <w:rPr>
          <w:rStyle w:val="fontstyle21"/>
          <w:rFonts w:ascii="Arial" w:hAnsi="Arial" w:cs="Arial"/>
          <w:sz w:val="24"/>
          <w:szCs w:val="24"/>
          <w:highlight w:val="yellow"/>
        </w:rPr>
        <w:t xml:space="preserve"> </w:t>
      </w:r>
      <w:r w:rsidR="00155A73" w:rsidRPr="00155A73">
        <w:rPr>
          <w:rStyle w:val="fontstyle21"/>
          <w:rFonts w:ascii="Arial" w:hAnsi="Arial" w:cs="Arial"/>
          <w:sz w:val="24"/>
          <w:szCs w:val="24"/>
          <w:highlight w:val="yellow"/>
        </w:rPr>
        <w:t>x a día x</w:t>
      </w:r>
      <w:r w:rsidRPr="00727904">
        <w:rPr>
          <w:rStyle w:val="fontstyle21"/>
          <w:rFonts w:ascii="Arial" w:hAnsi="Arial" w:cs="Arial"/>
          <w:sz w:val="24"/>
          <w:szCs w:val="24"/>
        </w:rPr>
        <w:t>, iniciando</w:t>
      </w:r>
      <w:r w:rsidR="00B64A19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>cualquier día de ellos. Solamente de agrava</w:t>
      </w:r>
      <w:r w:rsidR="0064143B" w:rsidRPr="00727904">
        <w:rPr>
          <w:rStyle w:val="fontstyle21"/>
          <w:rFonts w:ascii="Arial" w:hAnsi="Arial" w:cs="Arial"/>
          <w:sz w:val="24"/>
          <w:szCs w:val="24"/>
        </w:rPr>
        <w:t>rse la situación se contempla</w:t>
      </w:r>
      <w:r w:rsidRPr="00727904">
        <w:rPr>
          <w:rStyle w:val="fontstyle21"/>
          <w:rFonts w:ascii="Arial" w:hAnsi="Arial" w:cs="Arial"/>
          <w:sz w:val="24"/>
          <w:szCs w:val="24"/>
        </w:rPr>
        <w:t xml:space="preserve"> los </w:t>
      </w:r>
      <w:r w:rsidR="00155A73" w:rsidRPr="00155A73">
        <w:rPr>
          <w:rStyle w:val="fontstyle21"/>
          <w:rFonts w:ascii="Arial" w:hAnsi="Arial" w:cs="Arial"/>
          <w:sz w:val="24"/>
          <w:szCs w:val="24"/>
          <w:highlight w:val="yellow"/>
        </w:rPr>
        <w:t>sábados/domingos</w:t>
      </w:r>
      <w:r w:rsidRPr="00727904">
        <w:rPr>
          <w:rStyle w:val="fontstyle21"/>
          <w:rFonts w:ascii="Arial" w:hAnsi="Arial" w:cs="Arial"/>
          <w:sz w:val="24"/>
          <w:szCs w:val="24"/>
        </w:rPr>
        <w:t>,</w:t>
      </w:r>
      <w:r w:rsidR="00B64A19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155A73">
        <w:rPr>
          <w:rStyle w:val="fontstyle21"/>
          <w:rFonts w:ascii="Arial" w:hAnsi="Arial" w:cs="Arial"/>
          <w:sz w:val="24"/>
          <w:szCs w:val="24"/>
        </w:rPr>
        <w:t>aspecto que debe ser</w:t>
      </w:r>
      <w:r w:rsidRPr="00727904">
        <w:rPr>
          <w:rStyle w:val="fontstyle21"/>
          <w:rFonts w:ascii="Arial" w:hAnsi="Arial" w:cs="Arial"/>
          <w:sz w:val="24"/>
          <w:szCs w:val="24"/>
        </w:rPr>
        <w:t xml:space="preserve"> comunicado con la debida antelación.</w:t>
      </w:r>
    </w:p>
    <w:p w14:paraId="238630B5" w14:textId="5BE801C3" w:rsidR="000B3945" w:rsidRPr="00727904" w:rsidRDefault="000B3945" w:rsidP="00D204B5">
      <w:pPr>
        <w:jc w:val="both"/>
        <w:rPr>
          <w:rStyle w:val="fontstyle21"/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sz w:val="24"/>
          <w:szCs w:val="24"/>
        </w:rPr>
        <w:t>1.</w:t>
      </w:r>
      <w:r w:rsidR="00180B7D" w:rsidRPr="00727904">
        <w:rPr>
          <w:rFonts w:ascii="Arial" w:hAnsi="Arial" w:cs="Arial"/>
          <w:b/>
          <w:sz w:val="24"/>
          <w:szCs w:val="24"/>
        </w:rPr>
        <w:t>7</w:t>
      </w:r>
      <w:r w:rsidRPr="00727904">
        <w:rPr>
          <w:rFonts w:ascii="Arial" w:hAnsi="Arial" w:cs="Arial"/>
          <w:b/>
          <w:sz w:val="24"/>
          <w:szCs w:val="24"/>
        </w:rPr>
        <w:t xml:space="preserve"> Aplicación de la normativa:</w:t>
      </w:r>
      <w:r w:rsidRPr="00727904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>para todos los efectos lo establecido en la normativa vigente</w:t>
      </w:r>
      <w:r w:rsidR="00180B7D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>para</w:t>
      </w:r>
      <w:r w:rsidR="00180B7D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>el racionamiento de energía es de aplicación efectiva en todos sus extremos, por lo tanto,</w:t>
      </w:r>
      <w:r w:rsidR="00180B7D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>aspectos tales como la emisión de alerta de racionamiento o ej</w:t>
      </w:r>
      <w:r w:rsidR="0064143B" w:rsidRPr="00727904">
        <w:rPr>
          <w:rStyle w:val="fontstyle21"/>
          <w:rFonts w:ascii="Arial" w:hAnsi="Arial" w:cs="Arial"/>
          <w:sz w:val="24"/>
          <w:szCs w:val="24"/>
        </w:rPr>
        <w:t>ecución del mismo, se realizan</w:t>
      </w:r>
      <w:r w:rsidRPr="00727904">
        <w:rPr>
          <w:rStyle w:val="fontstyle21"/>
          <w:rFonts w:ascii="Arial" w:hAnsi="Arial" w:cs="Arial"/>
          <w:sz w:val="24"/>
          <w:szCs w:val="24"/>
        </w:rPr>
        <w:t xml:space="preserve"> en</w:t>
      </w:r>
      <w:r w:rsidR="00180B7D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="00E17134" w:rsidRPr="00727904">
        <w:rPr>
          <w:rStyle w:val="fontstyle21"/>
          <w:rFonts w:ascii="Arial" w:hAnsi="Arial" w:cs="Arial"/>
          <w:sz w:val="24"/>
          <w:szCs w:val="24"/>
        </w:rPr>
        <w:t>estricto apego a dicha n</w:t>
      </w:r>
      <w:r w:rsidRPr="00727904">
        <w:rPr>
          <w:rStyle w:val="fontstyle21"/>
          <w:rFonts w:ascii="Arial" w:hAnsi="Arial" w:cs="Arial"/>
          <w:sz w:val="24"/>
          <w:szCs w:val="24"/>
        </w:rPr>
        <w:t>orma</w:t>
      </w:r>
      <w:r w:rsidR="00E17134" w:rsidRPr="00727904">
        <w:rPr>
          <w:rStyle w:val="fontstyle21"/>
          <w:rFonts w:ascii="Arial" w:hAnsi="Arial" w:cs="Arial"/>
          <w:sz w:val="24"/>
          <w:szCs w:val="24"/>
        </w:rPr>
        <w:t>tiva</w:t>
      </w:r>
      <w:r w:rsidRPr="00727904">
        <w:rPr>
          <w:rStyle w:val="fontstyle21"/>
          <w:rFonts w:ascii="Arial" w:hAnsi="Arial" w:cs="Arial"/>
          <w:sz w:val="24"/>
          <w:szCs w:val="24"/>
        </w:rPr>
        <w:t>. De igual maner</w:t>
      </w:r>
      <w:r w:rsidR="00884CE3" w:rsidRPr="00727904">
        <w:rPr>
          <w:rStyle w:val="fontstyle21"/>
          <w:rFonts w:ascii="Arial" w:hAnsi="Arial" w:cs="Arial"/>
          <w:sz w:val="24"/>
          <w:szCs w:val="24"/>
        </w:rPr>
        <w:t>a es potestad de cada e</w:t>
      </w:r>
      <w:r w:rsidRPr="00727904">
        <w:rPr>
          <w:rStyle w:val="fontstyle21"/>
          <w:rFonts w:ascii="Arial" w:hAnsi="Arial" w:cs="Arial"/>
          <w:sz w:val="24"/>
          <w:szCs w:val="24"/>
        </w:rPr>
        <w:t>mpresa eléctrica establecer</w:t>
      </w:r>
      <w:r w:rsidR="00180B7D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>los circuitos no interrumpibles, así como determinar la selectividad de los circuitos interrumpibles</w:t>
      </w:r>
      <w:r w:rsidR="00180B7D" w:rsidRPr="00727904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>a la hora de planifi</w:t>
      </w:r>
      <w:r w:rsidR="0064143B" w:rsidRPr="00727904">
        <w:rPr>
          <w:rStyle w:val="fontstyle21"/>
          <w:rFonts w:ascii="Arial" w:hAnsi="Arial" w:cs="Arial"/>
          <w:sz w:val="24"/>
          <w:szCs w:val="24"/>
        </w:rPr>
        <w:t>car el orden en que establecer</w:t>
      </w:r>
      <w:r w:rsidRPr="00727904">
        <w:rPr>
          <w:rStyle w:val="fontstyle21"/>
          <w:rFonts w:ascii="Arial" w:hAnsi="Arial" w:cs="Arial"/>
          <w:sz w:val="24"/>
          <w:szCs w:val="24"/>
        </w:rPr>
        <w:t xml:space="preserve"> el programa de racionamiento.</w:t>
      </w:r>
    </w:p>
    <w:p w14:paraId="6E074F5E" w14:textId="6E987E4A" w:rsidR="00A027DA" w:rsidRPr="00727904" w:rsidRDefault="000B3945" w:rsidP="00D204B5">
      <w:pPr>
        <w:jc w:val="both"/>
        <w:rPr>
          <w:rStyle w:val="fontstyle21"/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bCs/>
          <w:sz w:val="24"/>
          <w:szCs w:val="24"/>
        </w:rPr>
        <w:t>1.</w:t>
      </w:r>
      <w:r w:rsidR="00180B7D" w:rsidRPr="00727904">
        <w:rPr>
          <w:rFonts w:ascii="Arial" w:hAnsi="Arial" w:cs="Arial"/>
          <w:b/>
          <w:bCs/>
          <w:sz w:val="24"/>
          <w:szCs w:val="24"/>
        </w:rPr>
        <w:t>8</w:t>
      </w:r>
      <w:r w:rsidRPr="00727904">
        <w:rPr>
          <w:rFonts w:ascii="Arial" w:hAnsi="Arial" w:cs="Arial"/>
          <w:b/>
          <w:bCs/>
          <w:sz w:val="24"/>
          <w:szCs w:val="24"/>
        </w:rPr>
        <w:t xml:space="preserve"> Escenarios probables de racionamiento:</w:t>
      </w:r>
      <w:r w:rsidRPr="00727904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27904">
        <w:rPr>
          <w:rStyle w:val="fontstyle21"/>
          <w:rFonts w:ascii="Arial" w:hAnsi="Arial" w:cs="Arial"/>
          <w:sz w:val="24"/>
          <w:szCs w:val="24"/>
        </w:rPr>
        <w:t xml:space="preserve">Con base en todo lo </w:t>
      </w:r>
      <w:r w:rsidR="00180B7D" w:rsidRPr="00727904">
        <w:rPr>
          <w:rStyle w:val="fontstyle21"/>
          <w:rFonts w:ascii="Arial" w:hAnsi="Arial" w:cs="Arial"/>
          <w:sz w:val="24"/>
          <w:szCs w:val="24"/>
        </w:rPr>
        <w:t>anteriormente expuesto</w:t>
      </w:r>
      <w:r w:rsidRPr="00727904">
        <w:rPr>
          <w:rStyle w:val="fontstyle21"/>
          <w:rFonts w:ascii="Arial" w:hAnsi="Arial" w:cs="Arial"/>
          <w:sz w:val="24"/>
          <w:szCs w:val="24"/>
        </w:rPr>
        <w:t>, a continuación, se presenta</w:t>
      </w:r>
      <w:r w:rsidR="00E17134" w:rsidRPr="00727904">
        <w:rPr>
          <w:rStyle w:val="fontstyle21"/>
          <w:rFonts w:ascii="Arial" w:hAnsi="Arial" w:cs="Arial"/>
          <w:sz w:val="24"/>
          <w:szCs w:val="24"/>
        </w:rPr>
        <w:t>n</w:t>
      </w:r>
      <w:r w:rsidR="0064143B" w:rsidRPr="00727904">
        <w:rPr>
          <w:rStyle w:val="fontstyle21"/>
          <w:rFonts w:ascii="Arial" w:hAnsi="Arial" w:cs="Arial"/>
          <w:sz w:val="24"/>
          <w:szCs w:val="24"/>
        </w:rPr>
        <w:t xml:space="preserve"> los </w:t>
      </w:r>
      <w:r w:rsidR="0064143B" w:rsidRPr="00727904">
        <w:rPr>
          <w:rStyle w:val="fontstyle21"/>
          <w:rFonts w:ascii="Arial" w:hAnsi="Arial" w:cs="Arial"/>
          <w:sz w:val="24"/>
          <w:szCs w:val="24"/>
          <w:highlight w:val="yellow"/>
        </w:rPr>
        <w:t>___</w:t>
      </w:r>
      <w:r w:rsidRPr="00727904">
        <w:rPr>
          <w:rStyle w:val="fontstyle21"/>
          <w:rFonts w:ascii="Arial" w:hAnsi="Arial" w:cs="Arial"/>
          <w:sz w:val="24"/>
          <w:szCs w:val="24"/>
        </w:rPr>
        <w:t xml:space="preserve"> escenarios probables de racionamiento </w:t>
      </w:r>
      <w:r w:rsidR="0064143B" w:rsidRPr="00727904">
        <w:rPr>
          <w:rStyle w:val="fontstyle21"/>
          <w:rFonts w:ascii="Arial" w:hAnsi="Arial" w:cs="Arial"/>
          <w:sz w:val="24"/>
          <w:szCs w:val="24"/>
        </w:rPr>
        <w:t xml:space="preserve">que están vigentes para el año </w:t>
      </w:r>
      <w:r w:rsidR="0064143B" w:rsidRPr="00727904">
        <w:rPr>
          <w:rStyle w:val="fontstyle21"/>
          <w:rFonts w:ascii="Arial" w:hAnsi="Arial" w:cs="Arial"/>
          <w:sz w:val="24"/>
          <w:szCs w:val="24"/>
          <w:highlight w:val="yellow"/>
        </w:rPr>
        <w:t>_____.</w:t>
      </w:r>
    </w:p>
    <w:p w14:paraId="297CAB28" w14:textId="77777777" w:rsidR="00E17134" w:rsidRPr="00727904" w:rsidRDefault="00E17134" w:rsidP="00180B7D">
      <w:pPr>
        <w:ind w:left="708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2EBEE77D" w14:textId="77777777" w:rsidR="00E17134" w:rsidRPr="00727904" w:rsidRDefault="00E17134" w:rsidP="00180B7D">
      <w:pPr>
        <w:ind w:left="708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6CC36499" w14:textId="77777777" w:rsidR="00E17134" w:rsidRPr="00727904" w:rsidRDefault="00E17134" w:rsidP="00180B7D">
      <w:pPr>
        <w:ind w:left="708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1EF738A5" w14:textId="77777777" w:rsidR="00E17134" w:rsidRPr="00727904" w:rsidRDefault="00E17134" w:rsidP="00180B7D">
      <w:pPr>
        <w:ind w:left="708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0D44DD8C" w14:textId="77777777" w:rsidR="00E17134" w:rsidRPr="00727904" w:rsidRDefault="00E17134" w:rsidP="00180B7D">
      <w:pPr>
        <w:ind w:left="708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25F401E7" w14:textId="77777777" w:rsidR="00E17134" w:rsidRPr="00727904" w:rsidRDefault="00E17134" w:rsidP="00180B7D">
      <w:pPr>
        <w:ind w:left="708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1CF9BDAE" w14:textId="77777777" w:rsidR="00884CE3" w:rsidRPr="00727904" w:rsidRDefault="00884CE3" w:rsidP="00884CE3">
      <w:pPr>
        <w:pStyle w:val="Default"/>
        <w:ind w:left="360"/>
        <w:jc w:val="center"/>
        <w:rPr>
          <w:b/>
        </w:rPr>
      </w:pPr>
      <w:r w:rsidRPr="00727904">
        <w:rPr>
          <w:b/>
        </w:rPr>
        <w:t>Tabla 2: Escenario 1 del programa de racionamiento</w:t>
      </w:r>
    </w:p>
    <w:tbl>
      <w:tblPr>
        <w:tblW w:w="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1660"/>
        <w:gridCol w:w="1200"/>
        <w:gridCol w:w="1200"/>
      </w:tblGrid>
      <w:tr w:rsidR="00987E82" w:rsidRPr="00727904" w14:paraId="0435699A" w14:textId="77777777" w:rsidTr="00180B90">
        <w:trPr>
          <w:trHeight w:val="300"/>
          <w:jc w:val="center"/>
        </w:trPr>
        <w:tc>
          <w:tcPr>
            <w:tcW w:w="2007" w:type="dxa"/>
            <w:vMerge w:val="restart"/>
            <w:shd w:val="clear" w:color="auto" w:fill="9BBB59" w:themeFill="accent3"/>
            <w:noWrap/>
            <w:vAlign w:val="center"/>
            <w:hideMark/>
          </w:tcPr>
          <w:p w14:paraId="5599F5DF" w14:textId="7777777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Empresa Eléctrica</w:t>
            </w:r>
          </w:p>
        </w:tc>
        <w:tc>
          <w:tcPr>
            <w:tcW w:w="4060" w:type="dxa"/>
            <w:gridSpan w:val="3"/>
            <w:shd w:val="clear" w:color="auto" w:fill="EAF1DD" w:themeFill="accent3" w:themeFillTint="33"/>
            <w:vAlign w:val="bottom"/>
            <w:hideMark/>
          </w:tcPr>
          <w:p w14:paraId="0E7A4854" w14:textId="68D06ADA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Bloques de Energía (</w:t>
            </w:r>
            <w:proofErr w:type="spellStart"/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MWh</w:t>
            </w:r>
            <w:proofErr w:type="spellEnd"/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)</w:t>
            </w:r>
          </w:p>
        </w:tc>
      </w:tr>
      <w:tr w:rsidR="00987E82" w:rsidRPr="00727904" w14:paraId="173DCEDB" w14:textId="77777777" w:rsidTr="00180B90">
        <w:trPr>
          <w:trHeight w:val="300"/>
          <w:jc w:val="center"/>
        </w:trPr>
        <w:tc>
          <w:tcPr>
            <w:tcW w:w="2007" w:type="dxa"/>
            <w:vMerge/>
            <w:shd w:val="clear" w:color="auto" w:fill="9BBB59" w:themeFill="accent3"/>
            <w:vAlign w:val="center"/>
            <w:hideMark/>
          </w:tcPr>
          <w:p w14:paraId="1020FD6F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060" w:type="dxa"/>
            <w:gridSpan w:val="3"/>
            <w:shd w:val="clear" w:color="auto" w:fill="EAF1DD" w:themeFill="accent3" w:themeFillTint="33"/>
            <w:noWrap/>
            <w:vAlign w:val="center"/>
            <w:hideMark/>
          </w:tcPr>
          <w:p w14:paraId="5CA73F8C" w14:textId="20D2B5AF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 xml:space="preserve">Escenario 1 </w:t>
            </w:r>
            <w:r w:rsidR="0064143B"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(</w:t>
            </w:r>
            <w:r w:rsidR="0064143B"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es-CR"/>
              </w:rPr>
              <w:t>____</w:t>
            </w: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 xml:space="preserve"> MW)</w:t>
            </w:r>
          </w:p>
        </w:tc>
      </w:tr>
      <w:tr w:rsidR="00987E82" w:rsidRPr="00727904" w14:paraId="667F3BCF" w14:textId="77777777" w:rsidTr="00180B90">
        <w:trPr>
          <w:trHeight w:val="600"/>
          <w:jc w:val="center"/>
        </w:trPr>
        <w:tc>
          <w:tcPr>
            <w:tcW w:w="2007" w:type="dxa"/>
            <w:vMerge/>
            <w:shd w:val="clear" w:color="auto" w:fill="9BBB59" w:themeFill="accent3"/>
            <w:vAlign w:val="center"/>
            <w:hideMark/>
          </w:tcPr>
          <w:p w14:paraId="393557BD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660" w:type="dxa"/>
            <w:shd w:val="clear" w:color="auto" w:fill="C2D69B" w:themeFill="accent3" w:themeFillTint="99"/>
            <w:vAlign w:val="center"/>
            <w:hideMark/>
          </w:tcPr>
          <w:p w14:paraId="4E73BFA2" w14:textId="7777777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Potencia (MW)</w:t>
            </w:r>
          </w:p>
        </w:tc>
        <w:tc>
          <w:tcPr>
            <w:tcW w:w="1200" w:type="dxa"/>
            <w:shd w:val="clear" w:color="auto" w:fill="C2D69B" w:themeFill="accent3" w:themeFillTint="99"/>
            <w:vAlign w:val="center"/>
            <w:hideMark/>
          </w:tcPr>
          <w:p w14:paraId="498B78C0" w14:textId="7777777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Horas</w:t>
            </w:r>
          </w:p>
        </w:tc>
        <w:tc>
          <w:tcPr>
            <w:tcW w:w="1200" w:type="dxa"/>
            <w:shd w:val="clear" w:color="auto" w:fill="C2D69B" w:themeFill="accent3" w:themeFillTint="99"/>
            <w:vAlign w:val="center"/>
            <w:hideMark/>
          </w:tcPr>
          <w:p w14:paraId="06A441DC" w14:textId="7777777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Energía (</w:t>
            </w:r>
            <w:proofErr w:type="spellStart"/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MWh</w:t>
            </w:r>
            <w:proofErr w:type="spellEnd"/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)</w:t>
            </w:r>
          </w:p>
        </w:tc>
      </w:tr>
      <w:tr w:rsidR="00987E82" w:rsidRPr="00727904" w14:paraId="5294FB27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A265874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ICE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C1C3553" w14:textId="6A0B54F8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136B388" w14:textId="23AAC9C5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A921DFA" w14:textId="4E90CA39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72B01460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873E069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CNFL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074DC6F" w14:textId="4926E7DC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E396252" w14:textId="36D5F50E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A7DAF04" w14:textId="4FC79618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52A25EFF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80AA49A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JASEC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B59A05A" w14:textId="47D9B695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86998ED" w14:textId="4C0A728F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61C9C3B" w14:textId="7499D19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46F29987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A233521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ESPH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3B9FA51" w14:textId="24E59186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0C4F2A2" w14:textId="2153BF7B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E9CF868" w14:textId="063E5BC8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4C06BDD8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63F8B186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COOPEGUANCASTE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6BF4795" w14:textId="2BAB8EDC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329FA2C" w14:textId="7B529F05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C6F11B1" w14:textId="160C923B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681336CC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9ADF2B1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COOPELESCA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144475E" w14:textId="5F619CA0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372BD8A" w14:textId="286C5766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3DE0930" w14:textId="6F945421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55A28E8B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442A3170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COOPESANTOS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1B75CCC" w14:textId="16D4BF0C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26FC00D" w14:textId="47800F38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4276034" w14:textId="3EC28549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987E82" w:rsidRPr="00727904" w14:paraId="3CB866DF" w14:textId="77777777" w:rsidTr="0064143B">
        <w:trPr>
          <w:trHeight w:val="31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58435AAA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COOPEALFARO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AFA0260" w14:textId="12A45F2F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439F5D0" w14:textId="1796E38D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E981DB4" w14:textId="7AB1F1D1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17BBA3D4" w14:textId="77777777" w:rsidR="00987E82" w:rsidRPr="00727904" w:rsidRDefault="00987E82" w:rsidP="00884CE3">
      <w:pPr>
        <w:pStyle w:val="Default"/>
        <w:ind w:left="360"/>
        <w:jc w:val="center"/>
        <w:rPr>
          <w:b/>
        </w:rPr>
      </w:pPr>
    </w:p>
    <w:p w14:paraId="053E4096" w14:textId="77777777" w:rsidR="00884CE3" w:rsidRPr="00727904" w:rsidRDefault="00884CE3" w:rsidP="00884CE3">
      <w:pPr>
        <w:pStyle w:val="Default"/>
        <w:ind w:left="360"/>
        <w:jc w:val="center"/>
        <w:rPr>
          <w:b/>
        </w:rPr>
      </w:pPr>
      <w:r w:rsidRPr="00727904">
        <w:rPr>
          <w:b/>
        </w:rPr>
        <w:t>Tabla 3: Escenario 2 del programa de racionamiento</w:t>
      </w:r>
    </w:p>
    <w:tbl>
      <w:tblPr>
        <w:tblW w:w="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1660"/>
        <w:gridCol w:w="1200"/>
        <w:gridCol w:w="1200"/>
      </w:tblGrid>
      <w:tr w:rsidR="00987E82" w:rsidRPr="00727904" w14:paraId="5B5116EB" w14:textId="77777777" w:rsidTr="00180B90">
        <w:trPr>
          <w:trHeight w:val="300"/>
          <w:jc w:val="center"/>
        </w:trPr>
        <w:tc>
          <w:tcPr>
            <w:tcW w:w="2007" w:type="dxa"/>
            <w:vMerge w:val="restart"/>
            <w:shd w:val="clear" w:color="auto" w:fill="9BBB59" w:themeFill="accent3"/>
            <w:noWrap/>
            <w:vAlign w:val="center"/>
            <w:hideMark/>
          </w:tcPr>
          <w:p w14:paraId="124B5B76" w14:textId="7777777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Empresa Eléctrica</w:t>
            </w:r>
          </w:p>
        </w:tc>
        <w:tc>
          <w:tcPr>
            <w:tcW w:w="4060" w:type="dxa"/>
            <w:gridSpan w:val="3"/>
            <w:shd w:val="clear" w:color="auto" w:fill="EAF1DD" w:themeFill="accent3" w:themeFillTint="33"/>
            <w:vAlign w:val="bottom"/>
            <w:hideMark/>
          </w:tcPr>
          <w:p w14:paraId="70006C8B" w14:textId="771B2E69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Bloques de Energía (</w:t>
            </w:r>
            <w:proofErr w:type="spellStart"/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MWh</w:t>
            </w:r>
            <w:proofErr w:type="spellEnd"/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)</w:t>
            </w:r>
          </w:p>
        </w:tc>
      </w:tr>
      <w:tr w:rsidR="00987E82" w:rsidRPr="00727904" w14:paraId="09A23BB6" w14:textId="77777777" w:rsidTr="00180B90">
        <w:trPr>
          <w:trHeight w:val="300"/>
          <w:jc w:val="center"/>
        </w:trPr>
        <w:tc>
          <w:tcPr>
            <w:tcW w:w="2007" w:type="dxa"/>
            <w:vMerge/>
            <w:shd w:val="clear" w:color="auto" w:fill="9BBB59" w:themeFill="accent3"/>
            <w:vAlign w:val="center"/>
            <w:hideMark/>
          </w:tcPr>
          <w:p w14:paraId="50E90A1D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060" w:type="dxa"/>
            <w:gridSpan w:val="3"/>
            <w:shd w:val="clear" w:color="auto" w:fill="EAF1DD" w:themeFill="accent3" w:themeFillTint="33"/>
            <w:noWrap/>
            <w:vAlign w:val="center"/>
            <w:hideMark/>
          </w:tcPr>
          <w:p w14:paraId="1735E516" w14:textId="054AA80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 xml:space="preserve">Escenario 2 </w:t>
            </w:r>
            <w:r w:rsidR="0064143B"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(</w:t>
            </w:r>
            <w:r w:rsidR="0064143B"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es-CR"/>
              </w:rPr>
              <w:t>___</w:t>
            </w: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 xml:space="preserve"> MW)</w:t>
            </w:r>
          </w:p>
        </w:tc>
      </w:tr>
      <w:tr w:rsidR="00987E82" w:rsidRPr="00727904" w14:paraId="39962811" w14:textId="77777777" w:rsidTr="00180B90">
        <w:trPr>
          <w:trHeight w:val="600"/>
          <w:jc w:val="center"/>
        </w:trPr>
        <w:tc>
          <w:tcPr>
            <w:tcW w:w="2007" w:type="dxa"/>
            <w:vMerge/>
            <w:shd w:val="clear" w:color="auto" w:fill="9BBB59" w:themeFill="accent3"/>
            <w:vAlign w:val="center"/>
            <w:hideMark/>
          </w:tcPr>
          <w:p w14:paraId="2FD969DE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660" w:type="dxa"/>
            <w:shd w:val="clear" w:color="auto" w:fill="C2D69B" w:themeFill="accent3" w:themeFillTint="99"/>
            <w:vAlign w:val="center"/>
            <w:hideMark/>
          </w:tcPr>
          <w:p w14:paraId="42BF3EB1" w14:textId="7777777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Potencia (MW)</w:t>
            </w:r>
          </w:p>
        </w:tc>
        <w:tc>
          <w:tcPr>
            <w:tcW w:w="1200" w:type="dxa"/>
            <w:shd w:val="clear" w:color="auto" w:fill="C2D69B" w:themeFill="accent3" w:themeFillTint="99"/>
            <w:vAlign w:val="center"/>
            <w:hideMark/>
          </w:tcPr>
          <w:p w14:paraId="3DD4EC5C" w14:textId="7777777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Horas</w:t>
            </w:r>
          </w:p>
        </w:tc>
        <w:tc>
          <w:tcPr>
            <w:tcW w:w="1200" w:type="dxa"/>
            <w:shd w:val="clear" w:color="auto" w:fill="C2D69B" w:themeFill="accent3" w:themeFillTint="99"/>
            <w:vAlign w:val="center"/>
            <w:hideMark/>
          </w:tcPr>
          <w:p w14:paraId="2C7C5A04" w14:textId="77777777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Energía (</w:t>
            </w:r>
            <w:proofErr w:type="spellStart"/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MWh</w:t>
            </w:r>
            <w:proofErr w:type="spellEnd"/>
            <w:r w:rsidRPr="007279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)</w:t>
            </w:r>
          </w:p>
        </w:tc>
      </w:tr>
      <w:tr w:rsidR="00987E82" w:rsidRPr="00727904" w14:paraId="4B813AFA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508BDB22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ICE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06281B8" w14:textId="0E6EC2CE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7E172590" w14:textId="17EA3137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9090E94" w14:textId="1C1CCCD1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987E82" w:rsidRPr="00727904" w14:paraId="6C92A4D3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7C06249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CNFL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A875FB6" w14:textId="58DB87A5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66FB71C" w14:textId="4BA37565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6D09FE3" w14:textId="4A3418AD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987E82" w:rsidRPr="00727904" w14:paraId="4EA72B05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50CA18EE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JASEC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742B3A0D" w14:textId="20DF3AA2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395EEB86" w14:textId="1D715BE6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97E559D" w14:textId="78EFAA9E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987E82" w:rsidRPr="00727904" w14:paraId="66FEBAEA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7E2A477D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ESPH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7057D19" w14:textId="2EDA1F61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89CF721" w14:textId="591C5447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68C19F07" w14:textId="2ED9158B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987E82" w:rsidRPr="00727904" w14:paraId="6B97E4D6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55558803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COOPEGUANCASTE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D4FAF3C" w14:textId="1F943444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50269F7" w14:textId="7744A5A9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48A7E20D" w14:textId="00F2A22F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987E82" w:rsidRPr="00727904" w14:paraId="4E4A75AC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D32D6F6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COOPELESCA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26D6086" w14:textId="756AEB6F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191CE79F" w14:textId="5CD1BDCB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4EE8AAB" w14:textId="13A5DB10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987E82" w:rsidRPr="00727904" w14:paraId="160E526E" w14:textId="77777777" w:rsidTr="0064143B">
        <w:trPr>
          <w:trHeight w:val="300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19912021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COOPESANTOS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6F8A40E4" w14:textId="4EC5EC03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25E85FCB" w14:textId="514B3F3D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EAFB70D" w14:textId="21D70799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987E82" w:rsidRPr="00727904" w14:paraId="7AEDDABF" w14:textId="77777777" w:rsidTr="0064143B">
        <w:trPr>
          <w:trHeight w:val="315"/>
          <w:jc w:val="center"/>
        </w:trPr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E7CFE3C" w14:textId="77777777" w:rsidR="00987E82" w:rsidRPr="00727904" w:rsidRDefault="00987E82" w:rsidP="00180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727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COOPEALFARO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5C320715" w14:textId="4FA4AE68" w:rsidR="00987E82" w:rsidRPr="00727904" w:rsidRDefault="00987E82" w:rsidP="00180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06468ED1" w14:textId="77BE03CC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14:paraId="5BE1A7C3" w14:textId="19FC1BAA" w:rsidR="00987E82" w:rsidRPr="00727904" w:rsidRDefault="00987E82" w:rsidP="00180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1ED103B9" w14:textId="77777777" w:rsidR="00987E82" w:rsidRPr="00727904" w:rsidRDefault="00987E82" w:rsidP="00884CE3">
      <w:pPr>
        <w:pStyle w:val="Default"/>
        <w:ind w:left="360"/>
        <w:jc w:val="center"/>
        <w:rPr>
          <w:b/>
        </w:rPr>
      </w:pPr>
    </w:p>
    <w:p w14:paraId="3B2474B9" w14:textId="2B8F971A" w:rsidR="00987E82" w:rsidRPr="00727904" w:rsidRDefault="0064143B" w:rsidP="0064143B">
      <w:pPr>
        <w:pStyle w:val="Default"/>
        <w:ind w:left="360"/>
        <w:rPr>
          <w:u w:val="single"/>
        </w:rPr>
      </w:pPr>
      <w:r w:rsidRPr="00727904">
        <w:rPr>
          <w:u w:val="single"/>
        </w:rPr>
        <w:t>Nota: Incluir más tablas en caso de contar con más escenarios de racionamiento</w:t>
      </w:r>
    </w:p>
    <w:p w14:paraId="3EA49783" w14:textId="77777777" w:rsidR="0064143B" w:rsidRPr="00727904" w:rsidRDefault="0064143B" w:rsidP="0064143B">
      <w:pPr>
        <w:pStyle w:val="Default"/>
        <w:ind w:left="360"/>
        <w:rPr>
          <w:u w:val="single"/>
        </w:rPr>
      </w:pPr>
    </w:p>
    <w:p w14:paraId="31F6B8A1" w14:textId="77777777" w:rsidR="00A027DA" w:rsidRPr="00727904" w:rsidRDefault="00A027DA" w:rsidP="00A027DA">
      <w:pPr>
        <w:jc w:val="both"/>
        <w:rPr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bCs/>
          <w:sz w:val="24"/>
          <w:szCs w:val="24"/>
        </w:rPr>
        <w:t xml:space="preserve">2. Elaboración Programa de racionamiento por Empresa </w:t>
      </w:r>
    </w:p>
    <w:p w14:paraId="6115C0B8" w14:textId="70517176" w:rsidR="00A027DA" w:rsidRPr="00727904" w:rsidRDefault="00A027DA" w:rsidP="00A027DA">
      <w:pPr>
        <w:jc w:val="both"/>
        <w:rPr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bCs/>
          <w:sz w:val="24"/>
          <w:szCs w:val="24"/>
        </w:rPr>
        <w:t xml:space="preserve">2.1 Esquema del programa de racionamiento: </w:t>
      </w:r>
      <w:r w:rsidRPr="00727904">
        <w:rPr>
          <w:rFonts w:ascii="Arial" w:hAnsi="Arial" w:cs="Arial"/>
          <w:sz w:val="24"/>
          <w:szCs w:val="24"/>
        </w:rPr>
        <w:t>tomando en consideración todos los aspectos antes indicados, el esquema básico que debe contener el progr</w:t>
      </w:r>
      <w:r w:rsidR="00884CE3" w:rsidRPr="00727904">
        <w:rPr>
          <w:rFonts w:ascii="Arial" w:hAnsi="Arial" w:cs="Arial"/>
          <w:sz w:val="24"/>
          <w:szCs w:val="24"/>
        </w:rPr>
        <w:t>ama de racionamiento para cada e</w:t>
      </w:r>
      <w:r w:rsidR="0027568A" w:rsidRPr="00727904">
        <w:rPr>
          <w:rFonts w:ascii="Arial" w:hAnsi="Arial" w:cs="Arial"/>
          <w:sz w:val="24"/>
          <w:szCs w:val="24"/>
        </w:rPr>
        <w:t xml:space="preserve">mpresa eléctrica en el </w:t>
      </w:r>
      <w:r w:rsidR="00D81DA6">
        <w:rPr>
          <w:rFonts w:ascii="Arial" w:hAnsi="Arial" w:cs="Arial"/>
          <w:b/>
          <w:sz w:val="24"/>
          <w:szCs w:val="24"/>
        </w:rPr>
        <w:t>R01-PT-01</w:t>
      </w:r>
      <w:r w:rsidR="0027568A" w:rsidRPr="00727904">
        <w:rPr>
          <w:rFonts w:ascii="Arial" w:hAnsi="Arial" w:cs="Arial"/>
          <w:sz w:val="24"/>
          <w:szCs w:val="24"/>
        </w:rPr>
        <w:t xml:space="preserve"> </w:t>
      </w:r>
      <w:r w:rsidR="0027568A" w:rsidRPr="00727904">
        <w:rPr>
          <w:rStyle w:val="Textoennegrita"/>
          <w:rFonts w:ascii="Arial" w:hAnsi="Arial" w:cs="Arial"/>
          <w:sz w:val="24"/>
          <w:szCs w:val="24"/>
        </w:rPr>
        <w:t>Programa anual de racionamiento por Empresa Distribuidora</w:t>
      </w:r>
    </w:p>
    <w:p w14:paraId="1A8F3095" w14:textId="77777777" w:rsidR="00A027DA" w:rsidRPr="00727904" w:rsidRDefault="00A027DA" w:rsidP="00937F9B">
      <w:pPr>
        <w:jc w:val="both"/>
        <w:rPr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bCs/>
          <w:sz w:val="24"/>
          <w:szCs w:val="24"/>
        </w:rPr>
        <w:t xml:space="preserve">2.2 </w:t>
      </w:r>
      <w:r w:rsidRPr="00727904">
        <w:rPr>
          <w:rFonts w:ascii="Arial" w:hAnsi="Arial" w:cs="Arial"/>
          <w:sz w:val="24"/>
          <w:szCs w:val="24"/>
        </w:rPr>
        <w:t xml:space="preserve">Los programas de racionamiento deben establecerse primeramente por cada escenario de racionamiento. </w:t>
      </w:r>
    </w:p>
    <w:p w14:paraId="0E3B985C" w14:textId="6BD40C0C" w:rsidR="00222E33" w:rsidRPr="00727904" w:rsidRDefault="00222E33" w:rsidP="00222E33">
      <w:pPr>
        <w:jc w:val="both"/>
        <w:rPr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sz w:val="24"/>
          <w:szCs w:val="24"/>
        </w:rPr>
        <w:t>2.3</w:t>
      </w:r>
      <w:r w:rsidRPr="00727904">
        <w:rPr>
          <w:rFonts w:ascii="Arial" w:hAnsi="Arial" w:cs="Arial"/>
          <w:sz w:val="24"/>
          <w:szCs w:val="24"/>
        </w:rPr>
        <w:t xml:space="preserve"> Cada período a racionar </w:t>
      </w:r>
      <w:r w:rsidR="00745CC3" w:rsidRPr="00727904">
        <w:rPr>
          <w:rFonts w:ascii="Arial" w:hAnsi="Arial" w:cs="Arial"/>
          <w:sz w:val="24"/>
          <w:szCs w:val="24"/>
        </w:rPr>
        <w:t>comprende la hora completa, que para efectos de medición serían los datos registrados en el periodo de N:15 a las N+1:00, donde N corresponde la hora a racionar.</w:t>
      </w:r>
    </w:p>
    <w:p w14:paraId="02478086" w14:textId="39FDD268" w:rsidR="00A027DA" w:rsidRPr="00727904" w:rsidRDefault="00A027DA" w:rsidP="00937F9B">
      <w:pPr>
        <w:jc w:val="both"/>
        <w:rPr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bCs/>
          <w:sz w:val="24"/>
          <w:szCs w:val="24"/>
        </w:rPr>
        <w:t>2.</w:t>
      </w:r>
      <w:r w:rsidR="00222E33" w:rsidRPr="00727904">
        <w:rPr>
          <w:rFonts w:ascii="Arial" w:hAnsi="Arial" w:cs="Arial"/>
          <w:b/>
          <w:bCs/>
          <w:sz w:val="24"/>
          <w:szCs w:val="24"/>
        </w:rPr>
        <w:t>4</w:t>
      </w:r>
      <w:r w:rsidRPr="007279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7904">
        <w:rPr>
          <w:rFonts w:ascii="Arial" w:hAnsi="Arial" w:cs="Arial"/>
          <w:sz w:val="24"/>
          <w:szCs w:val="24"/>
        </w:rPr>
        <w:t xml:space="preserve">Para cada </w:t>
      </w:r>
      <w:r w:rsidR="00937F9B" w:rsidRPr="00727904">
        <w:rPr>
          <w:rFonts w:ascii="Arial" w:hAnsi="Arial" w:cs="Arial"/>
          <w:sz w:val="24"/>
          <w:szCs w:val="24"/>
        </w:rPr>
        <w:t xml:space="preserve">hora </w:t>
      </w:r>
      <w:r w:rsidRPr="00727904">
        <w:rPr>
          <w:rFonts w:ascii="Arial" w:hAnsi="Arial" w:cs="Arial"/>
          <w:sz w:val="24"/>
          <w:szCs w:val="24"/>
        </w:rPr>
        <w:t xml:space="preserve">debe indicarse el </w:t>
      </w:r>
      <w:r w:rsidR="00937F9B" w:rsidRPr="00727904">
        <w:rPr>
          <w:rFonts w:ascii="Arial" w:hAnsi="Arial" w:cs="Arial"/>
          <w:sz w:val="24"/>
          <w:szCs w:val="24"/>
        </w:rPr>
        <w:t>o los circuitos</w:t>
      </w:r>
      <w:r w:rsidR="007377D4" w:rsidRPr="00727904">
        <w:rPr>
          <w:rFonts w:ascii="Arial" w:hAnsi="Arial" w:cs="Arial"/>
          <w:sz w:val="24"/>
          <w:szCs w:val="24"/>
        </w:rPr>
        <w:t xml:space="preserve"> de distribución</w:t>
      </w:r>
      <w:r w:rsidR="00937F9B" w:rsidRPr="00727904">
        <w:rPr>
          <w:rFonts w:ascii="Arial" w:hAnsi="Arial" w:cs="Arial"/>
          <w:sz w:val="24"/>
          <w:szCs w:val="24"/>
        </w:rPr>
        <w:t xml:space="preserve"> o tramos de </w:t>
      </w:r>
      <w:r w:rsidR="007377D4" w:rsidRPr="00727904">
        <w:rPr>
          <w:rFonts w:ascii="Arial" w:hAnsi="Arial" w:cs="Arial"/>
          <w:sz w:val="24"/>
          <w:szCs w:val="24"/>
        </w:rPr>
        <w:t>circuito</w:t>
      </w:r>
      <w:r w:rsidR="00937F9B" w:rsidRPr="00727904">
        <w:rPr>
          <w:rFonts w:ascii="Arial" w:hAnsi="Arial" w:cs="Arial"/>
          <w:sz w:val="24"/>
          <w:szCs w:val="24"/>
        </w:rPr>
        <w:t xml:space="preserve"> </w:t>
      </w:r>
      <w:r w:rsidRPr="00727904">
        <w:rPr>
          <w:rFonts w:ascii="Arial" w:hAnsi="Arial" w:cs="Arial"/>
          <w:sz w:val="24"/>
          <w:szCs w:val="24"/>
        </w:rPr>
        <w:t>que será</w:t>
      </w:r>
      <w:r w:rsidR="00937F9B" w:rsidRPr="00727904">
        <w:rPr>
          <w:rFonts w:ascii="Arial" w:hAnsi="Arial" w:cs="Arial"/>
          <w:sz w:val="24"/>
          <w:szCs w:val="24"/>
        </w:rPr>
        <w:t>n</w:t>
      </w:r>
      <w:r w:rsidRPr="00727904">
        <w:rPr>
          <w:rFonts w:ascii="Arial" w:hAnsi="Arial" w:cs="Arial"/>
          <w:sz w:val="24"/>
          <w:szCs w:val="24"/>
        </w:rPr>
        <w:t xml:space="preserve"> racionado</w:t>
      </w:r>
      <w:r w:rsidR="00884CE3" w:rsidRPr="00727904">
        <w:rPr>
          <w:rFonts w:ascii="Arial" w:hAnsi="Arial" w:cs="Arial"/>
          <w:sz w:val="24"/>
          <w:szCs w:val="24"/>
        </w:rPr>
        <w:t>s, el nombre de la Subestación de</w:t>
      </w:r>
      <w:r w:rsidR="00937F9B" w:rsidRPr="00727904">
        <w:rPr>
          <w:rFonts w:ascii="Arial" w:hAnsi="Arial" w:cs="Arial"/>
          <w:sz w:val="24"/>
          <w:szCs w:val="24"/>
        </w:rPr>
        <w:t>l cual está alimentado, la demanda de po</w:t>
      </w:r>
      <w:r w:rsidR="0027568A" w:rsidRPr="00727904">
        <w:rPr>
          <w:rFonts w:ascii="Arial" w:hAnsi="Arial" w:cs="Arial"/>
          <w:sz w:val="24"/>
          <w:szCs w:val="24"/>
        </w:rPr>
        <w:t>tencia estimada que se raciona</w:t>
      </w:r>
      <w:r w:rsidR="00937F9B" w:rsidRPr="00727904">
        <w:rPr>
          <w:rFonts w:ascii="Arial" w:hAnsi="Arial" w:cs="Arial"/>
          <w:sz w:val="24"/>
          <w:szCs w:val="24"/>
        </w:rPr>
        <w:t xml:space="preserve"> en MW,</w:t>
      </w:r>
      <w:r w:rsidRPr="00727904">
        <w:rPr>
          <w:rFonts w:ascii="Arial" w:hAnsi="Arial" w:cs="Arial"/>
          <w:sz w:val="24"/>
          <w:szCs w:val="24"/>
        </w:rPr>
        <w:t xml:space="preserve"> la cantidad estimada de energía no suministrada</w:t>
      </w:r>
      <w:r w:rsidR="00937F9B" w:rsidRPr="00727904">
        <w:rPr>
          <w:rFonts w:ascii="Arial" w:hAnsi="Arial" w:cs="Arial"/>
          <w:sz w:val="24"/>
          <w:szCs w:val="24"/>
        </w:rPr>
        <w:t xml:space="preserve"> asociada en </w:t>
      </w:r>
      <w:proofErr w:type="spellStart"/>
      <w:r w:rsidR="00937F9B" w:rsidRPr="00727904">
        <w:rPr>
          <w:rFonts w:ascii="Arial" w:hAnsi="Arial" w:cs="Arial"/>
          <w:sz w:val="24"/>
          <w:szCs w:val="24"/>
        </w:rPr>
        <w:t>MWh</w:t>
      </w:r>
      <w:proofErr w:type="spellEnd"/>
      <w:r w:rsidR="00937F9B" w:rsidRPr="00727904">
        <w:rPr>
          <w:rFonts w:ascii="Arial" w:hAnsi="Arial" w:cs="Arial"/>
          <w:sz w:val="24"/>
          <w:szCs w:val="24"/>
        </w:rPr>
        <w:t xml:space="preserve"> y, por último, </w:t>
      </w:r>
      <w:r w:rsidRPr="00727904">
        <w:rPr>
          <w:rFonts w:ascii="Arial" w:hAnsi="Arial" w:cs="Arial"/>
          <w:sz w:val="24"/>
          <w:szCs w:val="24"/>
        </w:rPr>
        <w:t>indicar con detalle, todos los lugares (barri</w:t>
      </w:r>
      <w:r w:rsidR="0027568A" w:rsidRPr="00727904">
        <w:rPr>
          <w:rFonts w:ascii="Arial" w:hAnsi="Arial" w:cs="Arial"/>
          <w:sz w:val="24"/>
          <w:szCs w:val="24"/>
        </w:rPr>
        <w:t>os, caseríos, resid</w:t>
      </w:r>
      <w:r w:rsidR="00D81DA6">
        <w:rPr>
          <w:rFonts w:ascii="Arial" w:hAnsi="Arial" w:cs="Arial"/>
          <w:sz w:val="24"/>
          <w:szCs w:val="24"/>
        </w:rPr>
        <w:t xml:space="preserve">enciales, entre otros.) que se </w:t>
      </w:r>
      <w:r w:rsidR="0027568A" w:rsidRPr="00727904">
        <w:rPr>
          <w:rFonts w:ascii="Arial" w:hAnsi="Arial" w:cs="Arial"/>
          <w:sz w:val="24"/>
          <w:szCs w:val="24"/>
        </w:rPr>
        <w:t>afectan</w:t>
      </w:r>
      <w:r w:rsidRPr="00727904">
        <w:rPr>
          <w:rFonts w:ascii="Arial" w:hAnsi="Arial" w:cs="Arial"/>
          <w:sz w:val="24"/>
          <w:szCs w:val="24"/>
        </w:rPr>
        <w:t xml:space="preserve"> por cada uno de los circuitos </w:t>
      </w:r>
      <w:r w:rsidR="00841BBB" w:rsidRPr="00727904">
        <w:rPr>
          <w:rFonts w:ascii="Arial" w:hAnsi="Arial" w:cs="Arial"/>
          <w:sz w:val="24"/>
          <w:szCs w:val="24"/>
        </w:rPr>
        <w:t xml:space="preserve">de distribución </w:t>
      </w:r>
      <w:r w:rsidR="00937F9B" w:rsidRPr="00727904">
        <w:rPr>
          <w:rFonts w:ascii="Arial" w:hAnsi="Arial" w:cs="Arial"/>
          <w:sz w:val="24"/>
          <w:szCs w:val="24"/>
        </w:rPr>
        <w:t xml:space="preserve">o tramos de </w:t>
      </w:r>
      <w:r w:rsidR="00BA3635" w:rsidRPr="00727904">
        <w:rPr>
          <w:rFonts w:ascii="Arial" w:hAnsi="Arial" w:cs="Arial"/>
          <w:sz w:val="24"/>
          <w:szCs w:val="24"/>
        </w:rPr>
        <w:t>circuito</w:t>
      </w:r>
      <w:r w:rsidRPr="00727904">
        <w:rPr>
          <w:rFonts w:ascii="Arial" w:hAnsi="Arial" w:cs="Arial"/>
          <w:sz w:val="24"/>
          <w:szCs w:val="24"/>
        </w:rPr>
        <w:t>.</w:t>
      </w:r>
    </w:p>
    <w:p w14:paraId="6544C073" w14:textId="7C363A91" w:rsidR="000470CC" w:rsidRPr="00727904" w:rsidRDefault="00E85967" w:rsidP="000470CC">
      <w:pPr>
        <w:jc w:val="both"/>
        <w:rPr>
          <w:rFonts w:ascii="Arial" w:hAnsi="Arial" w:cs="Arial"/>
          <w:b/>
          <w:sz w:val="24"/>
          <w:szCs w:val="24"/>
        </w:rPr>
      </w:pPr>
      <w:r w:rsidRPr="00727904">
        <w:rPr>
          <w:rFonts w:ascii="Arial" w:hAnsi="Arial" w:cs="Arial"/>
          <w:b/>
          <w:bCs/>
          <w:iCs/>
          <w:sz w:val="24"/>
          <w:szCs w:val="24"/>
        </w:rPr>
        <w:t>2.</w:t>
      </w:r>
      <w:r w:rsidR="00222E33" w:rsidRPr="00727904">
        <w:rPr>
          <w:rFonts w:ascii="Arial" w:hAnsi="Arial" w:cs="Arial"/>
          <w:b/>
          <w:bCs/>
          <w:iCs/>
          <w:sz w:val="24"/>
          <w:szCs w:val="24"/>
        </w:rPr>
        <w:t>5</w:t>
      </w:r>
      <w:r w:rsidRPr="00727904">
        <w:rPr>
          <w:rFonts w:ascii="Arial" w:hAnsi="Arial" w:cs="Arial"/>
          <w:bCs/>
          <w:iCs/>
          <w:sz w:val="24"/>
          <w:szCs w:val="24"/>
        </w:rPr>
        <w:t xml:space="preserve"> </w:t>
      </w:r>
      <w:r w:rsidR="00DD1FAF" w:rsidRPr="00727904">
        <w:rPr>
          <w:rFonts w:ascii="Arial" w:hAnsi="Arial" w:cs="Arial"/>
          <w:sz w:val="24"/>
          <w:szCs w:val="24"/>
        </w:rPr>
        <w:t>S</w:t>
      </w:r>
      <w:r w:rsidR="00222E33" w:rsidRPr="00727904">
        <w:rPr>
          <w:rFonts w:ascii="Arial" w:hAnsi="Arial" w:cs="Arial"/>
          <w:sz w:val="24"/>
          <w:szCs w:val="24"/>
        </w:rPr>
        <w:t>e</w:t>
      </w:r>
      <w:r w:rsidR="00DD1FAF" w:rsidRPr="00727904">
        <w:rPr>
          <w:rFonts w:ascii="Arial" w:hAnsi="Arial" w:cs="Arial"/>
          <w:sz w:val="24"/>
          <w:szCs w:val="24"/>
        </w:rPr>
        <w:t xml:space="preserve"> necesita</w:t>
      </w:r>
      <w:r w:rsidRPr="00727904">
        <w:rPr>
          <w:rFonts w:ascii="Arial" w:hAnsi="Arial" w:cs="Arial"/>
          <w:sz w:val="24"/>
          <w:szCs w:val="24"/>
        </w:rPr>
        <w:t xml:space="preserve"> un perfil de </w:t>
      </w:r>
      <w:r w:rsidR="00DD1FAF" w:rsidRPr="00727904">
        <w:rPr>
          <w:rFonts w:ascii="Arial" w:hAnsi="Arial" w:cs="Arial"/>
          <w:sz w:val="24"/>
          <w:szCs w:val="24"/>
        </w:rPr>
        <w:t xml:space="preserve">carga de </w:t>
      </w:r>
      <w:r w:rsidRPr="00727904">
        <w:rPr>
          <w:rFonts w:ascii="Arial" w:hAnsi="Arial" w:cs="Arial"/>
          <w:sz w:val="24"/>
          <w:szCs w:val="24"/>
        </w:rPr>
        <w:t>cada circuito</w:t>
      </w:r>
      <w:r w:rsidR="00841BBB" w:rsidRPr="00727904">
        <w:rPr>
          <w:rFonts w:ascii="Arial" w:hAnsi="Arial" w:cs="Arial"/>
          <w:sz w:val="24"/>
          <w:szCs w:val="24"/>
        </w:rPr>
        <w:t xml:space="preserve"> de distribución</w:t>
      </w:r>
      <w:r w:rsidRPr="00727904">
        <w:rPr>
          <w:rFonts w:ascii="Arial" w:hAnsi="Arial" w:cs="Arial"/>
          <w:sz w:val="24"/>
          <w:szCs w:val="24"/>
        </w:rPr>
        <w:t xml:space="preserve"> o tramo de </w:t>
      </w:r>
      <w:r w:rsidR="00BA3635" w:rsidRPr="00727904">
        <w:rPr>
          <w:rFonts w:ascii="Arial" w:hAnsi="Arial" w:cs="Arial"/>
          <w:sz w:val="24"/>
          <w:szCs w:val="24"/>
        </w:rPr>
        <w:t>circuito</w:t>
      </w:r>
      <w:r w:rsidR="00937F9B" w:rsidRPr="00727904">
        <w:rPr>
          <w:rFonts w:ascii="Arial" w:hAnsi="Arial" w:cs="Arial"/>
          <w:sz w:val="24"/>
          <w:szCs w:val="24"/>
        </w:rPr>
        <w:t xml:space="preserve"> en MW</w:t>
      </w:r>
      <w:r w:rsidR="00222E33" w:rsidRPr="00727904">
        <w:rPr>
          <w:rFonts w:ascii="Arial" w:hAnsi="Arial" w:cs="Arial"/>
          <w:sz w:val="24"/>
          <w:szCs w:val="24"/>
        </w:rPr>
        <w:t xml:space="preserve"> por mes</w:t>
      </w:r>
      <w:r w:rsidRPr="00727904">
        <w:rPr>
          <w:rFonts w:ascii="Arial" w:hAnsi="Arial" w:cs="Arial"/>
          <w:sz w:val="24"/>
          <w:szCs w:val="24"/>
        </w:rPr>
        <w:t>,</w:t>
      </w:r>
      <w:r w:rsidR="00222E33" w:rsidRPr="00727904">
        <w:rPr>
          <w:rFonts w:ascii="Arial" w:hAnsi="Arial" w:cs="Arial"/>
          <w:sz w:val="24"/>
          <w:szCs w:val="24"/>
        </w:rPr>
        <w:t xml:space="preserve"> según el </w:t>
      </w:r>
      <w:r w:rsidR="00222E33" w:rsidRPr="00727904">
        <w:rPr>
          <w:rFonts w:ascii="Arial" w:hAnsi="Arial" w:cs="Arial"/>
          <w:b/>
          <w:sz w:val="24"/>
          <w:szCs w:val="24"/>
        </w:rPr>
        <w:t>PT-01 Procedimiento Coordinación del Racionamiento</w:t>
      </w:r>
      <w:r w:rsidRPr="00727904">
        <w:rPr>
          <w:rFonts w:ascii="Arial" w:hAnsi="Arial" w:cs="Arial"/>
          <w:sz w:val="24"/>
          <w:szCs w:val="24"/>
        </w:rPr>
        <w:t xml:space="preserve"> el cual debe ser único y representativo a lo largo del </w:t>
      </w:r>
      <w:r w:rsidR="00222E33" w:rsidRPr="00727904">
        <w:rPr>
          <w:rFonts w:ascii="Arial" w:hAnsi="Arial" w:cs="Arial"/>
          <w:sz w:val="24"/>
          <w:szCs w:val="24"/>
        </w:rPr>
        <w:t>mes</w:t>
      </w:r>
      <w:r w:rsidRPr="00727904">
        <w:rPr>
          <w:rFonts w:ascii="Arial" w:hAnsi="Arial" w:cs="Arial"/>
          <w:sz w:val="24"/>
          <w:szCs w:val="24"/>
        </w:rPr>
        <w:t>, con el fin de asegurar que el p</w:t>
      </w:r>
      <w:r w:rsidR="00745CC3" w:rsidRPr="00727904">
        <w:rPr>
          <w:rFonts w:ascii="Arial" w:hAnsi="Arial" w:cs="Arial"/>
          <w:sz w:val="24"/>
          <w:szCs w:val="24"/>
        </w:rPr>
        <w:t xml:space="preserve">rograma de racionamiento </w:t>
      </w:r>
      <w:r w:rsidR="0027568A" w:rsidRPr="00727904">
        <w:rPr>
          <w:rFonts w:ascii="Arial" w:hAnsi="Arial" w:cs="Arial"/>
          <w:sz w:val="24"/>
          <w:szCs w:val="24"/>
        </w:rPr>
        <w:t>límite</w:t>
      </w:r>
      <w:r w:rsidR="00745CC3" w:rsidRPr="00727904">
        <w:rPr>
          <w:rFonts w:ascii="Arial" w:hAnsi="Arial" w:cs="Arial"/>
          <w:sz w:val="24"/>
          <w:szCs w:val="24"/>
        </w:rPr>
        <w:t xml:space="preserve"> de forma efectiva </w:t>
      </w:r>
      <w:r w:rsidRPr="00727904">
        <w:rPr>
          <w:rFonts w:ascii="Arial" w:hAnsi="Arial" w:cs="Arial"/>
          <w:sz w:val="24"/>
          <w:szCs w:val="24"/>
        </w:rPr>
        <w:t>la demanda programada en cua</w:t>
      </w:r>
      <w:r w:rsidR="007377D4" w:rsidRPr="00727904">
        <w:rPr>
          <w:rFonts w:ascii="Arial" w:hAnsi="Arial" w:cs="Arial"/>
          <w:sz w:val="24"/>
          <w:szCs w:val="24"/>
        </w:rPr>
        <w:t xml:space="preserve">lquier día </w:t>
      </w:r>
      <w:r w:rsidR="009C3803" w:rsidRPr="00727904">
        <w:rPr>
          <w:rFonts w:ascii="Arial" w:hAnsi="Arial" w:cs="Arial"/>
          <w:sz w:val="24"/>
          <w:szCs w:val="24"/>
        </w:rPr>
        <w:t xml:space="preserve">y a cualquier hora </w:t>
      </w:r>
      <w:r w:rsidR="007377D4" w:rsidRPr="00727904">
        <w:rPr>
          <w:rFonts w:ascii="Arial" w:hAnsi="Arial" w:cs="Arial"/>
          <w:sz w:val="24"/>
          <w:szCs w:val="24"/>
        </w:rPr>
        <w:t xml:space="preserve">del </w:t>
      </w:r>
      <w:r w:rsidR="00222E33" w:rsidRPr="00727904">
        <w:rPr>
          <w:rFonts w:ascii="Arial" w:hAnsi="Arial" w:cs="Arial"/>
          <w:sz w:val="24"/>
          <w:szCs w:val="24"/>
        </w:rPr>
        <w:t>mes</w:t>
      </w:r>
      <w:r w:rsidR="007377D4" w:rsidRPr="00727904">
        <w:rPr>
          <w:rFonts w:ascii="Arial" w:hAnsi="Arial" w:cs="Arial"/>
          <w:sz w:val="24"/>
          <w:szCs w:val="24"/>
        </w:rPr>
        <w:t>. Se recuerda</w:t>
      </w:r>
      <w:r w:rsidRPr="00727904">
        <w:rPr>
          <w:rFonts w:ascii="Arial" w:hAnsi="Arial" w:cs="Arial"/>
          <w:sz w:val="24"/>
          <w:szCs w:val="24"/>
        </w:rPr>
        <w:t xml:space="preserve"> que estos perfiles deben declarar el 100% de la demanda real de</w:t>
      </w:r>
      <w:r w:rsidR="00BA3635" w:rsidRPr="00727904">
        <w:rPr>
          <w:rFonts w:ascii="Arial" w:hAnsi="Arial" w:cs="Arial"/>
          <w:sz w:val="24"/>
          <w:szCs w:val="24"/>
        </w:rPr>
        <w:t>l</w:t>
      </w:r>
      <w:r w:rsidRPr="00727904">
        <w:rPr>
          <w:rFonts w:ascii="Arial" w:hAnsi="Arial" w:cs="Arial"/>
          <w:sz w:val="24"/>
          <w:szCs w:val="24"/>
        </w:rPr>
        <w:t xml:space="preserve"> circuito</w:t>
      </w:r>
      <w:r w:rsidR="00BA3635" w:rsidRPr="00727904">
        <w:rPr>
          <w:rFonts w:ascii="Arial" w:hAnsi="Arial" w:cs="Arial"/>
          <w:sz w:val="24"/>
          <w:szCs w:val="24"/>
        </w:rPr>
        <w:t xml:space="preserve"> de distribución</w:t>
      </w:r>
      <w:r w:rsidRPr="00727904">
        <w:rPr>
          <w:rFonts w:ascii="Arial" w:hAnsi="Arial" w:cs="Arial"/>
          <w:sz w:val="24"/>
          <w:szCs w:val="24"/>
        </w:rPr>
        <w:t xml:space="preserve"> o </w:t>
      </w:r>
      <w:r w:rsidR="00DD1FAF" w:rsidRPr="00727904">
        <w:rPr>
          <w:rFonts w:ascii="Arial" w:hAnsi="Arial" w:cs="Arial"/>
          <w:sz w:val="24"/>
          <w:szCs w:val="24"/>
        </w:rPr>
        <w:t xml:space="preserve">tramo de </w:t>
      </w:r>
      <w:r w:rsidR="00BA3635" w:rsidRPr="00727904">
        <w:rPr>
          <w:rFonts w:ascii="Arial" w:hAnsi="Arial" w:cs="Arial"/>
          <w:sz w:val="24"/>
          <w:szCs w:val="24"/>
        </w:rPr>
        <w:t>circuito</w:t>
      </w:r>
      <w:r w:rsidRPr="00727904">
        <w:rPr>
          <w:rFonts w:ascii="Arial" w:hAnsi="Arial" w:cs="Arial"/>
          <w:sz w:val="24"/>
          <w:szCs w:val="24"/>
        </w:rPr>
        <w:t>.</w:t>
      </w:r>
      <w:r w:rsidR="000470CC" w:rsidRPr="00727904">
        <w:rPr>
          <w:rFonts w:ascii="Arial" w:hAnsi="Arial" w:cs="Arial"/>
          <w:sz w:val="24"/>
          <w:szCs w:val="24"/>
        </w:rPr>
        <w:t xml:space="preserve"> Dichos </w:t>
      </w:r>
      <w:r w:rsidR="0027568A" w:rsidRPr="00727904">
        <w:rPr>
          <w:rFonts w:ascii="Arial" w:hAnsi="Arial" w:cs="Arial"/>
          <w:sz w:val="24"/>
          <w:szCs w:val="24"/>
        </w:rPr>
        <w:t>p</w:t>
      </w:r>
      <w:r w:rsidR="00D81DA6">
        <w:rPr>
          <w:rFonts w:ascii="Arial" w:hAnsi="Arial" w:cs="Arial"/>
          <w:sz w:val="24"/>
          <w:szCs w:val="24"/>
        </w:rPr>
        <w:t xml:space="preserve">erfiles deben declararse en el </w:t>
      </w:r>
      <w:r w:rsidR="00D81DA6">
        <w:rPr>
          <w:rStyle w:val="ui-provider"/>
          <w:rFonts w:ascii="Arial" w:hAnsi="Arial" w:cs="Arial"/>
          <w:b/>
          <w:sz w:val="24"/>
          <w:szCs w:val="24"/>
        </w:rPr>
        <w:t xml:space="preserve">R02-PT-01 </w:t>
      </w:r>
      <w:r w:rsidR="0027568A" w:rsidRPr="00727904">
        <w:rPr>
          <w:rStyle w:val="ui-provider"/>
          <w:rFonts w:ascii="Arial" w:hAnsi="Arial" w:cs="Arial"/>
          <w:b/>
          <w:sz w:val="24"/>
          <w:szCs w:val="24"/>
        </w:rPr>
        <w:t>PERFILES DE CARGA DE CIRCUITOS (MW)</w:t>
      </w:r>
    </w:p>
    <w:p w14:paraId="699F1D90" w14:textId="04359C9D" w:rsidR="009C53B1" w:rsidRPr="00727904" w:rsidRDefault="009C53B1" w:rsidP="00A027DA">
      <w:pPr>
        <w:jc w:val="both"/>
        <w:rPr>
          <w:rFonts w:ascii="Arial" w:hAnsi="Arial" w:cs="Arial"/>
          <w:b/>
          <w:sz w:val="24"/>
          <w:szCs w:val="24"/>
        </w:rPr>
      </w:pPr>
      <w:r w:rsidRPr="00727904">
        <w:rPr>
          <w:rFonts w:ascii="Arial" w:hAnsi="Arial" w:cs="Arial"/>
          <w:b/>
          <w:sz w:val="24"/>
          <w:szCs w:val="24"/>
        </w:rPr>
        <w:t>2.</w:t>
      </w:r>
      <w:r w:rsidR="00222E33" w:rsidRPr="00727904">
        <w:rPr>
          <w:rFonts w:ascii="Arial" w:hAnsi="Arial" w:cs="Arial"/>
          <w:b/>
          <w:sz w:val="24"/>
          <w:szCs w:val="24"/>
        </w:rPr>
        <w:t>6</w:t>
      </w:r>
      <w:r w:rsidRPr="00727904">
        <w:rPr>
          <w:rFonts w:ascii="Arial" w:hAnsi="Arial" w:cs="Arial"/>
          <w:sz w:val="24"/>
          <w:szCs w:val="24"/>
        </w:rPr>
        <w:t xml:space="preserve"> En el caso de utilizar un tramo </w:t>
      </w:r>
      <w:r w:rsidR="00C14A6E" w:rsidRPr="00727904">
        <w:rPr>
          <w:rFonts w:ascii="Arial" w:hAnsi="Arial" w:cs="Arial"/>
          <w:sz w:val="24"/>
          <w:szCs w:val="24"/>
        </w:rPr>
        <w:t>de algún circuito,</w:t>
      </w:r>
      <w:r w:rsidR="00C114B1" w:rsidRPr="00727904">
        <w:rPr>
          <w:rFonts w:ascii="Arial" w:hAnsi="Arial" w:cs="Arial"/>
          <w:sz w:val="24"/>
          <w:szCs w:val="24"/>
        </w:rPr>
        <w:t xml:space="preserve"> como parte del programa de racionamiento, se debe declarar su perfil </w:t>
      </w:r>
      <w:r w:rsidR="00937F9B" w:rsidRPr="00727904">
        <w:rPr>
          <w:rFonts w:ascii="Arial" w:hAnsi="Arial" w:cs="Arial"/>
          <w:sz w:val="24"/>
          <w:szCs w:val="24"/>
        </w:rPr>
        <w:t xml:space="preserve">en MW </w:t>
      </w:r>
      <w:r w:rsidR="00C14A6E" w:rsidRPr="00727904">
        <w:rPr>
          <w:rFonts w:ascii="Arial" w:hAnsi="Arial" w:cs="Arial"/>
          <w:sz w:val="24"/>
          <w:szCs w:val="24"/>
        </w:rPr>
        <w:t xml:space="preserve">de forma independiente </w:t>
      </w:r>
      <w:r w:rsidR="00C114B1" w:rsidRPr="00727904">
        <w:rPr>
          <w:rFonts w:ascii="Arial" w:hAnsi="Arial" w:cs="Arial"/>
          <w:sz w:val="24"/>
          <w:szCs w:val="24"/>
        </w:rPr>
        <w:t>en</w:t>
      </w:r>
      <w:r w:rsidR="002260AA" w:rsidRPr="00727904">
        <w:rPr>
          <w:rFonts w:ascii="Arial" w:hAnsi="Arial" w:cs="Arial"/>
          <w:sz w:val="24"/>
          <w:szCs w:val="24"/>
        </w:rPr>
        <w:t xml:space="preserve"> el</w:t>
      </w:r>
      <w:r w:rsidR="00C114B1" w:rsidRPr="00727904">
        <w:rPr>
          <w:rFonts w:ascii="Arial" w:hAnsi="Arial" w:cs="Arial"/>
          <w:sz w:val="24"/>
          <w:szCs w:val="24"/>
        </w:rPr>
        <w:t xml:space="preserve"> </w:t>
      </w:r>
      <w:r w:rsidR="00D81DA6">
        <w:rPr>
          <w:rStyle w:val="ui-provider"/>
          <w:rFonts w:ascii="Arial" w:hAnsi="Arial" w:cs="Arial"/>
          <w:b/>
          <w:sz w:val="24"/>
          <w:szCs w:val="24"/>
        </w:rPr>
        <w:t>R02-PT-01</w:t>
      </w:r>
      <w:r w:rsidR="002260AA" w:rsidRPr="00727904">
        <w:rPr>
          <w:rStyle w:val="ui-provider"/>
          <w:rFonts w:ascii="Arial" w:hAnsi="Arial" w:cs="Arial"/>
          <w:b/>
          <w:sz w:val="24"/>
          <w:szCs w:val="24"/>
        </w:rPr>
        <w:t xml:space="preserve"> PERFILES DE CARGA DE CIRCUITOS (MW)</w:t>
      </w:r>
    </w:p>
    <w:p w14:paraId="183E08C1" w14:textId="5662B1C8" w:rsidR="00A027DA" w:rsidRPr="00727904" w:rsidRDefault="00937F9B" w:rsidP="00A027DA">
      <w:pPr>
        <w:jc w:val="both"/>
        <w:rPr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sz w:val="24"/>
          <w:szCs w:val="24"/>
        </w:rPr>
        <w:t>2.</w:t>
      </w:r>
      <w:r w:rsidR="00222E33" w:rsidRPr="00727904">
        <w:rPr>
          <w:rFonts w:ascii="Arial" w:hAnsi="Arial" w:cs="Arial"/>
          <w:b/>
          <w:sz w:val="24"/>
          <w:szCs w:val="24"/>
        </w:rPr>
        <w:t>7</w:t>
      </w:r>
      <w:r w:rsidR="004C3097" w:rsidRPr="00727904">
        <w:rPr>
          <w:rFonts w:ascii="Arial" w:hAnsi="Arial" w:cs="Arial"/>
          <w:sz w:val="24"/>
          <w:szCs w:val="24"/>
        </w:rPr>
        <w:t xml:space="preserve"> </w:t>
      </w:r>
      <w:r w:rsidR="00EB5CF7" w:rsidRPr="00727904">
        <w:rPr>
          <w:rFonts w:ascii="Arial" w:hAnsi="Arial" w:cs="Arial"/>
          <w:sz w:val="24"/>
          <w:szCs w:val="24"/>
        </w:rPr>
        <w:t>L</w:t>
      </w:r>
      <w:r w:rsidR="00853B52" w:rsidRPr="00727904">
        <w:rPr>
          <w:rFonts w:ascii="Arial" w:hAnsi="Arial" w:cs="Arial"/>
          <w:sz w:val="24"/>
          <w:szCs w:val="24"/>
        </w:rPr>
        <w:t>a</w:t>
      </w:r>
      <w:r w:rsidR="00853B52" w:rsidRPr="00727904">
        <w:rPr>
          <w:rFonts w:ascii="Arial" w:hAnsi="Arial" w:cs="Arial"/>
          <w:b/>
          <w:sz w:val="24"/>
          <w:szCs w:val="24"/>
        </w:rPr>
        <w:t xml:space="preserve"> Norma Técnica Planeación, Operación y Acceso</w:t>
      </w:r>
      <w:r w:rsidR="00745CC3" w:rsidRPr="00727904">
        <w:rPr>
          <w:rFonts w:ascii="Arial" w:hAnsi="Arial" w:cs="Arial"/>
          <w:b/>
          <w:sz w:val="24"/>
          <w:szCs w:val="24"/>
        </w:rPr>
        <w:t>, al Sistema Eléctrico Nacional</w:t>
      </w:r>
      <w:r w:rsidR="00853B52" w:rsidRPr="00727904">
        <w:rPr>
          <w:rFonts w:ascii="Arial" w:hAnsi="Arial" w:cs="Arial"/>
          <w:b/>
          <w:sz w:val="24"/>
          <w:szCs w:val="24"/>
        </w:rPr>
        <w:t xml:space="preserve"> (AR-NT-POASEN) </w:t>
      </w:r>
      <w:r w:rsidR="00EB5CF7" w:rsidRPr="00727904">
        <w:rPr>
          <w:rFonts w:ascii="Arial" w:hAnsi="Arial" w:cs="Arial"/>
          <w:sz w:val="24"/>
          <w:szCs w:val="24"/>
        </w:rPr>
        <w:t xml:space="preserve">define </w:t>
      </w:r>
      <w:r w:rsidR="00853B52" w:rsidRPr="00727904">
        <w:rPr>
          <w:rFonts w:ascii="Arial" w:hAnsi="Arial" w:cs="Arial"/>
          <w:sz w:val="24"/>
          <w:szCs w:val="24"/>
        </w:rPr>
        <w:t xml:space="preserve">en el inciso k de su artículo 172: </w:t>
      </w:r>
      <w:r w:rsidR="00853B52" w:rsidRPr="00727904">
        <w:rPr>
          <w:rFonts w:ascii="Arial" w:hAnsi="Arial" w:cs="Arial"/>
          <w:i/>
          <w:sz w:val="24"/>
          <w:szCs w:val="24"/>
        </w:rPr>
        <w:t xml:space="preserve">Son </w:t>
      </w:r>
      <w:proofErr w:type="spellStart"/>
      <w:r w:rsidR="00853B52" w:rsidRPr="00727904">
        <w:rPr>
          <w:rFonts w:ascii="Arial" w:hAnsi="Arial" w:cs="Arial"/>
          <w:i/>
          <w:sz w:val="24"/>
          <w:szCs w:val="24"/>
        </w:rPr>
        <w:t>ininterrumpibles</w:t>
      </w:r>
      <w:proofErr w:type="spellEnd"/>
      <w:r w:rsidR="00853B52" w:rsidRPr="00727904">
        <w:rPr>
          <w:rFonts w:ascii="Arial" w:hAnsi="Arial" w:cs="Arial"/>
          <w:i/>
          <w:sz w:val="24"/>
          <w:szCs w:val="24"/>
        </w:rPr>
        <w:t>, los alimentadores, circuitos o ramales, en los cuales se inyecte energía al Sistema Eléctrico Nacional</w:t>
      </w:r>
      <w:r w:rsidR="00853B52" w:rsidRPr="00727904">
        <w:rPr>
          <w:rFonts w:ascii="Arial" w:hAnsi="Arial" w:cs="Arial"/>
          <w:sz w:val="24"/>
          <w:szCs w:val="24"/>
        </w:rPr>
        <w:t xml:space="preserve">; por lo tanto, se recuerda </w:t>
      </w:r>
      <w:r w:rsidR="007377D4" w:rsidRPr="00727904">
        <w:rPr>
          <w:rFonts w:ascii="Arial" w:hAnsi="Arial" w:cs="Arial"/>
          <w:sz w:val="24"/>
          <w:szCs w:val="24"/>
        </w:rPr>
        <w:t>que no se aceptarán</w:t>
      </w:r>
      <w:r w:rsidR="00853B52" w:rsidRPr="00727904">
        <w:rPr>
          <w:rFonts w:ascii="Arial" w:hAnsi="Arial" w:cs="Arial"/>
          <w:sz w:val="24"/>
          <w:szCs w:val="24"/>
        </w:rPr>
        <w:t xml:space="preserve"> en el programa de racionamiento </w:t>
      </w:r>
      <w:r w:rsidR="00841BBB" w:rsidRPr="00727904">
        <w:rPr>
          <w:rFonts w:ascii="Arial" w:hAnsi="Arial" w:cs="Arial"/>
          <w:sz w:val="24"/>
          <w:szCs w:val="24"/>
        </w:rPr>
        <w:t xml:space="preserve">circuitos de distribución o tramos de circuito </w:t>
      </w:r>
      <w:r w:rsidR="00853B52" w:rsidRPr="00727904">
        <w:rPr>
          <w:rFonts w:ascii="Arial" w:hAnsi="Arial" w:cs="Arial"/>
          <w:sz w:val="24"/>
          <w:szCs w:val="24"/>
        </w:rPr>
        <w:t>que cuenten con plantas de generación.</w:t>
      </w:r>
    </w:p>
    <w:p w14:paraId="1EE28A70" w14:textId="5AAE00E2" w:rsidR="00A027DA" w:rsidRPr="00727904" w:rsidRDefault="00937F9B" w:rsidP="00A027DA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27904">
        <w:rPr>
          <w:rFonts w:ascii="Arial" w:hAnsi="Arial" w:cs="Arial"/>
          <w:b/>
          <w:sz w:val="24"/>
          <w:szCs w:val="24"/>
        </w:rPr>
        <w:t>2.</w:t>
      </w:r>
      <w:r w:rsidR="00222E33" w:rsidRPr="00727904">
        <w:rPr>
          <w:rFonts w:ascii="Arial" w:hAnsi="Arial" w:cs="Arial"/>
          <w:b/>
          <w:sz w:val="24"/>
          <w:szCs w:val="24"/>
        </w:rPr>
        <w:t>8</w:t>
      </w:r>
      <w:r w:rsidR="00853B52" w:rsidRPr="00727904">
        <w:rPr>
          <w:rFonts w:ascii="Arial" w:hAnsi="Arial" w:cs="Arial"/>
          <w:sz w:val="24"/>
          <w:szCs w:val="24"/>
        </w:rPr>
        <w:t xml:space="preserve"> </w:t>
      </w:r>
      <w:r w:rsidR="000003E2" w:rsidRPr="00727904">
        <w:rPr>
          <w:rFonts w:ascii="Arial" w:hAnsi="Arial" w:cs="Arial"/>
          <w:sz w:val="24"/>
          <w:szCs w:val="24"/>
        </w:rPr>
        <w:t>E</w:t>
      </w:r>
      <w:r w:rsidR="0062312B" w:rsidRPr="00727904">
        <w:rPr>
          <w:rFonts w:ascii="Arial" w:hAnsi="Arial" w:cs="Arial"/>
          <w:sz w:val="24"/>
          <w:szCs w:val="24"/>
        </w:rPr>
        <w:t xml:space="preserve">n </w:t>
      </w:r>
      <w:r w:rsidR="002260AA" w:rsidRPr="00727904">
        <w:rPr>
          <w:rFonts w:ascii="Arial" w:hAnsi="Arial" w:cs="Arial"/>
          <w:sz w:val="24"/>
          <w:szCs w:val="24"/>
        </w:rPr>
        <w:t xml:space="preserve">el </w:t>
      </w:r>
      <w:r w:rsidR="00D81DA6">
        <w:rPr>
          <w:rStyle w:val="ui-provider"/>
          <w:rFonts w:ascii="Arial" w:hAnsi="Arial" w:cs="Arial"/>
          <w:b/>
          <w:sz w:val="24"/>
          <w:szCs w:val="24"/>
        </w:rPr>
        <w:t>R03-PT-03</w:t>
      </w:r>
      <w:r w:rsidR="002260AA" w:rsidRPr="00727904">
        <w:rPr>
          <w:rStyle w:val="ui-provider"/>
          <w:rFonts w:ascii="Arial" w:hAnsi="Arial" w:cs="Arial"/>
          <w:b/>
          <w:sz w:val="24"/>
          <w:szCs w:val="24"/>
        </w:rPr>
        <w:t xml:space="preserve"> RESPONSABLES DE RECIBIR COMUNICADOS DE ALERTAS Y EJECUCIÓN DE RACIONAMIENTO </w:t>
      </w:r>
      <w:r w:rsidR="002260AA" w:rsidRPr="00727904">
        <w:rPr>
          <w:rStyle w:val="ui-provider"/>
          <w:rFonts w:ascii="Arial" w:hAnsi="Arial" w:cs="Arial"/>
          <w:sz w:val="24"/>
          <w:szCs w:val="24"/>
        </w:rPr>
        <w:t xml:space="preserve">deben completar la información correspondiente, </w:t>
      </w:r>
      <w:r w:rsidR="002260AA" w:rsidRPr="00727904">
        <w:rPr>
          <w:rFonts w:ascii="Arial" w:hAnsi="Arial" w:cs="Arial"/>
          <w:sz w:val="24"/>
          <w:szCs w:val="24"/>
        </w:rPr>
        <w:t>no</w:t>
      </w:r>
      <w:r w:rsidR="000003E2" w:rsidRPr="00727904">
        <w:rPr>
          <w:rFonts w:ascii="Arial" w:hAnsi="Arial" w:cs="Arial"/>
          <w:sz w:val="24"/>
          <w:szCs w:val="24"/>
        </w:rPr>
        <w:t xml:space="preserve"> se deben</w:t>
      </w:r>
      <w:r w:rsidR="0062312B" w:rsidRPr="00727904">
        <w:rPr>
          <w:rFonts w:ascii="Arial" w:hAnsi="Arial" w:cs="Arial"/>
          <w:sz w:val="24"/>
          <w:szCs w:val="24"/>
        </w:rPr>
        <w:t xml:space="preserve"> inclu</w:t>
      </w:r>
      <w:r w:rsidR="000003E2" w:rsidRPr="00727904">
        <w:rPr>
          <w:rFonts w:ascii="Arial" w:hAnsi="Arial" w:cs="Arial"/>
          <w:sz w:val="24"/>
          <w:szCs w:val="24"/>
        </w:rPr>
        <w:t>ir</w:t>
      </w:r>
      <w:r w:rsidR="0062312B" w:rsidRPr="00727904">
        <w:rPr>
          <w:rFonts w:ascii="Arial" w:hAnsi="Arial" w:cs="Arial"/>
          <w:sz w:val="24"/>
          <w:szCs w:val="24"/>
        </w:rPr>
        <w:t xml:space="preserve"> nombres genéricos de oficinas o departamentos. Es necesario contar con los nombres, tanto de los titulares y de los suplentes encargados de recibir las alertas y los comunicados de</w:t>
      </w:r>
      <w:r w:rsidR="000470CC" w:rsidRPr="00727904">
        <w:rPr>
          <w:rFonts w:ascii="Arial" w:hAnsi="Arial" w:cs="Arial"/>
          <w:sz w:val="24"/>
          <w:szCs w:val="24"/>
        </w:rPr>
        <w:t xml:space="preserve"> </w:t>
      </w:r>
      <w:r w:rsidR="0062312B" w:rsidRPr="00727904">
        <w:rPr>
          <w:rFonts w:ascii="Arial" w:hAnsi="Arial" w:cs="Arial"/>
          <w:sz w:val="24"/>
          <w:szCs w:val="24"/>
        </w:rPr>
        <w:t>l</w:t>
      </w:r>
      <w:r w:rsidR="000470CC" w:rsidRPr="00727904">
        <w:rPr>
          <w:rFonts w:ascii="Arial" w:hAnsi="Arial" w:cs="Arial"/>
          <w:sz w:val="24"/>
          <w:szCs w:val="24"/>
        </w:rPr>
        <w:t>a</w:t>
      </w:r>
      <w:r w:rsidR="0062312B" w:rsidRPr="00727904">
        <w:rPr>
          <w:rFonts w:ascii="Arial" w:hAnsi="Arial" w:cs="Arial"/>
          <w:sz w:val="24"/>
          <w:szCs w:val="24"/>
        </w:rPr>
        <w:t xml:space="preserve"> </w:t>
      </w:r>
      <w:r w:rsidR="000470CC" w:rsidRPr="00727904">
        <w:rPr>
          <w:rFonts w:ascii="Arial" w:hAnsi="Arial" w:cs="Arial"/>
          <w:sz w:val="24"/>
          <w:szCs w:val="24"/>
        </w:rPr>
        <w:t>DOCSE</w:t>
      </w:r>
      <w:r w:rsidR="002260AA" w:rsidRPr="00727904">
        <w:rPr>
          <w:rFonts w:ascii="Arial" w:hAnsi="Arial" w:cs="Arial"/>
          <w:sz w:val="24"/>
          <w:szCs w:val="24"/>
        </w:rPr>
        <w:t>, así como aquellos que deben</w:t>
      </w:r>
      <w:r w:rsidR="0062312B" w:rsidRPr="00727904">
        <w:rPr>
          <w:rFonts w:ascii="Arial" w:hAnsi="Arial" w:cs="Arial"/>
          <w:sz w:val="24"/>
          <w:szCs w:val="24"/>
        </w:rPr>
        <w:t xml:space="preserve"> ejecutar el program</w:t>
      </w:r>
      <w:r w:rsidR="002260AA" w:rsidRPr="00727904">
        <w:rPr>
          <w:rFonts w:ascii="Arial" w:hAnsi="Arial" w:cs="Arial"/>
          <w:sz w:val="24"/>
          <w:szCs w:val="24"/>
        </w:rPr>
        <w:t>a de racionamiento y que deben</w:t>
      </w:r>
      <w:r w:rsidR="0062312B" w:rsidRPr="00727904">
        <w:rPr>
          <w:rFonts w:ascii="Arial" w:hAnsi="Arial" w:cs="Arial"/>
          <w:sz w:val="24"/>
          <w:szCs w:val="24"/>
        </w:rPr>
        <w:t xml:space="preserve"> estar en comunicación con la Sala de Operación de</w:t>
      </w:r>
      <w:r w:rsidR="000470CC" w:rsidRPr="00727904">
        <w:rPr>
          <w:rFonts w:ascii="Arial" w:hAnsi="Arial" w:cs="Arial"/>
          <w:sz w:val="24"/>
          <w:szCs w:val="24"/>
        </w:rPr>
        <w:t xml:space="preserve"> </w:t>
      </w:r>
      <w:r w:rsidR="00745CC3" w:rsidRPr="00727904">
        <w:rPr>
          <w:rFonts w:ascii="Arial" w:hAnsi="Arial" w:cs="Arial"/>
          <w:sz w:val="24"/>
          <w:szCs w:val="24"/>
        </w:rPr>
        <w:t>DOCSE</w:t>
      </w:r>
      <w:r w:rsidR="000470CC" w:rsidRPr="00727904">
        <w:rPr>
          <w:rFonts w:ascii="Arial" w:hAnsi="Arial" w:cs="Arial"/>
          <w:sz w:val="24"/>
          <w:szCs w:val="24"/>
        </w:rPr>
        <w:t>.</w:t>
      </w:r>
      <w:r w:rsidR="00841BBB" w:rsidRPr="00727904">
        <w:rPr>
          <w:rFonts w:ascii="Arial" w:hAnsi="Arial" w:cs="Arial"/>
          <w:sz w:val="24"/>
          <w:szCs w:val="24"/>
        </w:rPr>
        <w:t xml:space="preserve"> </w:t>
      </w:r>
    </w:p>
    <w:p w14:paraId="4EE83547" w14:textId="4DF5517C" w:rsidR="00853B52" w:rsidRPr="00727904" w:rsidRDefault="00222E33" w:rsidP="00A027DA">
      <w:pPr>
        <w:jc w:val="both"/>
        <w:rPr>
          <w:rFonts w:ascii="Arial" w:hAnsi="Arial" w:cs="Arial"/>
          <w:sz w:val="24"/>
          <w:szCs w:val="24"/>
        </w:rPr>
      </w:pPr>
      <w:r w:rsidRPr="00727904">
        <w:rPr>
          <w:rFonts w:ascii="Arial" w:hAnsi="Arial" w:cs="Arial"/>
          <w:b/>
          <w:sz w:val="24"/>
          <w:szCs w:val="24"/>
        </w:rPr>
        <w:t>2.9</w:t>
      </w:r>
      <w:r w:rsidR="0062312B" w:rsidRPr="00727904">
        <w:rPr>
          <w:rFonts w:ascii="Arial" w:hAnsi="Arial" w:cs="Arial"/>
          <w:sz w:val="24"/>
          <w:szCs w:val="24"/>
        </w:rPr>
        <w:t xml:space="preserve"> </w:t>
      </w:r>
      <w:r w:rsidR="000003E2" w:rsidRPr="00727904">
        <w:rPr>
          <w:rFonts w:ascii="Arial" w:hAnsi="Arial" w:cs="Arial"/>
          <w:sz w:val="24"/>
          <w:szCs w:val="24"/>
        </w:rPr>
        <w:t>E</w:t>
      </w:r>
      <w:r w:rsidR="00500768" w:rsidRPr="00727904">
        <w:rPr>
          <w:rFonts w:ascii="Arial" w:hAnsi="Arial" w:cs="Arial"/>
          <w:sz w:val="24"/>
          <w:szCs w:val="24"/>
        </w:rPr>
        <w:t xml:space="preserve">l cumplimiento de los formatos es obligatorio; por lo tanto, no se recibirán archivos con formatos </w:t>
      </w:r>
      <w:r w:rsidR="000003E2" w:rsidRPr="00727904">
        <w:rPr>
          <w:rFonts w:ascii="Arial" w:hAnsi="Arial" w:cs="Arial"/>
          <w:sz w:val="24"/>
          <w:szCs w:val="24"/>
        </w:rPr>
        <w:t>diferentes</w:t>
      </w:r>
      <w:r w:rsidR="00500768" w:rsidRPr="00727904">
        <w:rPr>
          <w:rFonts w:ascii="Arial" w:hAnsi="Arial" w:cs="Arial"/>
          <w:sz w:val="24"/>
          <w:szCs w:val="24"/>
        </w:rPr>
        <w:t xml:space="preserve"> a los enviados.</w:t>
      </w:r>
    </w:p>
    <w:sectPr w:rsidR="00853B52" w:rsidRPr="00727904" w:rsidSect="00322B88"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6F988" w14:textId="77777777" w:rsidR="001803DC" w:rsidRDefault="001803DC" w:rsidP="00E17134">
      <w:pPr>
        <w:spacing w:after="0" w:line="240" w:lineRule="auto"/>
      </w:pPr>
      <w:r>
        <w:separator/>
      </w:r>
    </w:p>
  </w:endnote>
  <w:endnote w:type="continuationSeparator" w:id="0">
    <w:p w14:paraId="3160107E" w14:textId="77777777" w:rsidR="001803DC" w:rsidRDefault="001803DC" w:rsidP="00E17134">
      <w:pPr>
        <w:spacing w:after="0" w:line="240" w:lineRule="auto"/>
      </w:pPr>
      <w:r>
        <w:continuationSeparator/>
      </w:r>
    </w:p>
  </w:endnote>
  <w:endnote w:type="continuationNotice" w:id="1">
    <w:p w14:paraId="4A930440" w14:textId="77777777" w:rsidR="00C00075" w:rsidRDefault="00C00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6CFC" w14:textId="00802DF5" w:rsidR="00322B88" w:rsidRDefault="00322B88" w:rsidP="00322B88">
    <w:pPr>
      <w:pStyle w:val="Piedepgina"/>
      <w:ind w:right="-377" w:hanging="284"/>
      <w:rPr>
        <w:b/>
        <w:sz w:val="18"/>
      </w:rPr>
    </w:pPr>
  </w:p>
  <w:p w14:paraId="73B73ABA" w14:textId="77777777" w:rsidR="00727904" w:rsidRPr="00322B88" w:rsidRDefault="00727904" w:rsidP="00322B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2820" w14:textId="77777777" w:rsidR="001803DC" w:rsidRDefault="001803DC" w:rsidP="00E17134">
      <w:pPr>
        <w:spacing w:after="0" w:line="240" w:lineRule="auto"/>
      </w:pPr>
      <w:r>
        <w:separator/>
      </w:r>
    </w:p>
  </w:footnote>
  <w:footnote w:type="continuationSeparator" w:id="0">
    <w:p w14:paraId="4651FED0" w14:textId="77777777" w:rsidR="001803DC" w:rsidRDefault="001803DC" w:rsidP="00E17134">
      <w:pPr>
        <w:spacing w:after="0" w:line="240" w:lineRule="auto"/>
      </w:pPr>
      <w:r>
        <w:continuationSeparator/>
      </w:r>
    </w:p>
  </w:footnote>
  <w:footnote w:type="continuationNotice" w:id="1">
    <w:p w14:paraId="41CD3677" w14:textId="77777777" w:rsidR="00C00075" w:rsidRDefault="00C00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01"/>
      <w:gridCol w:w="1077"/>
      <w:gridCol w:w="837"/>
    </w:tblGrid>
    <w:tr w:rsidR="00D204B5" w14:paraId="50D89C31" w14:textId="77777777" w:rsidTr="007F5954">
      <w:trPr>
        <w:cantSplit/>
        <w:trHeight w:val="400"/>
      </w:trPr>
      <w:tc>
        <w:tcPr>
          <w:tcW w:w="6701" w:type="dxa"/>
          <w:vMerge w:val="restart"/>
        </w:tcPr>
        <w:p w14:paraId="38CD0377" w14:textId="39E5051B" w:rsidR="00D204B5" w:rsidRDefault="00D204B5" w:rsidP="00D204B5">
          <w:pPr>
            <w:pStyle w:val="TDC1"/>
          </w:pPr>
          <w:r>
            <w:rPr>
              <w:sz w:val="28"/>
            </w:rPr>
            <w:t xml:space="preserve">GUÍA PARA ELABORAR EL </w:t>
          </w:r>
          <w:r w:rsidRPr="00884CE3">
            <w:rPr>
              <w:sz w:val="28"/>
            </w:rPr>
            <w:t xml:space="preserve">PROGRAMA </w:t>
          </w:r>
          <w:r>
            <w:rPr>
              <w:sz w:val="28"/>
            </w:rPr>
            <w:t xml:space="preserve">DE RACIONAMIENTO </w:t>
          </w:r>
        </w:p>
      </w:tc>
      <w:tc>
        <w:tcPr>
          <w:tcW w:w="1914" w:type="dxa"/>
          <w:gridSpan w:val="2"/>
        </w:tcPr>
        <w:p w14:paraId="2C0ABFC7" w14:textId="77777777" w:rsidR="00D204B5" w:rsidRDefault="00D204B5" w:rsidP="00D204B5">
          <w:pPr>
            <w:pStyle w:val="Encabezado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Código</w:t>
          </w:r>
        </w:p>
        <w:p w14:paraId="336BFD13" w14:textId="417B65C8" w:rsidR="00D204B5" w:rsidRDefault="00D204B5" w:rsidP="00D204B5">
          <w:pPr>
            <w:pStyle w:val="Encabezado"/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GU01-</w:t>
          </w:r>
          <w:r w:rsidR="0091494B">
            <w:rPr>
              <w:b/>
              <w:sz w:val="20"/>
              <w:lang w:val="en-US"/>
            </w:rPr>
            <w:t>PT-01</w:t>
          </w:r>
        </w:p>
      </w:tc>
    </w:tr>
    <w:tr w:rsidR="00D204B5" w14:paraId="51690D6C" w14:textId="77777777" w:rsidTr="00275A85">
      <w:trPr>
        <w:cantSplit/>
        <w:trHeight w:val="408"/>
      </w:trPr>
      <w:tc>
        <w:tcPr>
          <w:tcW w:w="6701" w:type="dxa"/>
          <w:vMerge/>
        </w:tcPr>
        <w:p w14:paraId="394A9666" w14:textId="77777777" w:rsidR="00D204B5" w:rsidRDefault="00D204B5" w:rsidP="00D204B5">
          <w:pPr>
            <w:rPr>
              <w:b/>
              <w:lang w:val="en-US"/>
            </w:rPr>
          </w:pPr>
        </w:p>
      </w:tc>
      <w:tc>
        <w:tcPr>
          <w:tcW w:w="1077" w:type="dxa"/>
        </w:tcPr>
        <w:p w14:paraId="7D789786" w14:textId="77777777" w:rsidR="00D204B5" w:rsidRDefault="00D204B5" w:rsidP="00D204B5">
          <w:pPr>
            <w:pStyle w:val="Encabezado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Versión</w:t>
          </w:r>
        </w:p>
        <w:p w14:paraId="1659F308" w14:textId="2D669A0B" w:rsidR="00D204B5" w:rsidRDefault="00D204B5" w:rsidP="00D204B5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</w:t>
          </w:r>
        </w:p>
      </w:tc>
      <w:tc>
        <w:tcPr>
          <w:tcW w:w="837" w:type="dxa"/>
        </w:tcPr>
        <w:p w14:paraId="43B9FE99" w14:textId="22F78468" w:rsidR="00D204B5" w:rsidRDefault="00D204B5" w:rsidP="00D204B5">
          <w:pPr>
            <w:pStyle w:val="Encabezado"/>
            <w:jc w:val="center"/>
            <w:rPr>
              <w:b/>
              <w:sz w:val="20"/>
            </w:rPr>
          </w:pPr>
          <w:r w:rsidRPr="00D204B5">
            <w:rPr>
              <w:b/>
              <w:snapToGrid w:val="0"/>
              <w:sz w:val="16"/>
              <w:lang w:val="es-ES"/>
            </w:rPr>
            <w:t xml:space="preserve">Página </w:t>
          </w:r>
          <w:r w:rsidRPr="00D204B5">
            <w:rPr>
              <w:b/>
              <w:bCs/>
              <w:snapToGrid w:val="0"/>
              <w:sz w:val="16"/>
            </w:rPr>
            <w:fldChar w:fldCharType="begin"/>
          </w:r>
          <w:r w:rsidRPr="00D204B5">
            <w:rPr>
              <w:b/>
              <w:bCs/>
              <w:snapToGrid w:val="0"/>
              <w:sz w:val="16"/>
            </w:rPr>
            <w:instrText>PAGE  \* Arabic  \* MERGEFORMAT</w:instrText>
          </w:r>
          <w:r w:rsidRPr="00D204B5">
            <w:rPr>
              <w:b/>
              <w:bCs/>
              <w:snapToGrid w:val="0"/>
              <w:sz w:val="16"/>
            </w:rPr>
            <w:fldChar w:fldCharType="separate"/>
          </w:r>
          <w:r w:rsidR="009B55D9" w:rsidRPr="009B55D9">
            <w:rPr>
              <w:b/>
              <w:bCs/>
              <w:noProof/>
              <w:snapToGrid w:val="0"/>
              <w:sz w:val="16"/>
              <w:lang w:val="es-ES"/>
            </w:rPr>
            <w:t>4</w:t>
          </w:r>
          <w:r w:rsidRPr="00D204B5">
            <w:rPr>
              <w:b/>
              <w:bCs/>
              <w:snapToGrid w:val="0"/>
              <w:sz w:val="16"/>
            </w:rPr>
            <w:fldChar w:fldCharType="end"/>
          </w:r>
          <w:r w:rsidRPr="00D204B5">
            <w:rPr>
              <w:b/>
              <w:snapToGrid w:val="0"/>
              <w:sz w:val="16"/>
              <w:lang w:val="es-ES"/>
            </w:rPr>
            <w:t xml:space="preserve"> de </w:t>
          </w:r>
          <w:r w:rsidRPr="00D204B5">
            <w:rPr>
              <w:b/>
              <w:bCs/>
              <w:snapToGrid w:val="0"/>
              <w:sz w:val="16"/>
            </w:rPr>
            <w:fldChar w:fldCharType="begin"/>
          </w:r>
          <w:r w:rsidRPr="00D204B5">
            <w:rPr>
              <w:b/>
              <w:bCs/>
              <w:snapToGrid w:val="0"/>
              <w:sz w:val="16"/>
            </w:rPr>
            <w:instrText>NUMPAGES  \* Arabic  \* MERGEFORMAT</w:instrText>
          </w:r>
          <w:r w:rsidRPr="00D204B5">
            <w:rPr>
              <w:b/>
              <w:bCs/>
              <w:snapToGrid w:val="0"/>
              <w:sz w:val="16"/>
            </w:rPr>
            <w:fldChar w:fldCharType="separate"/>
          </w:r>
          <w:r w:rsidR="009B55D9" w:rsidRPr="009B55D9">
            <w:rPr>
              <w:b/>
              <w:bCs/>
              <w:noProof/>
              <w:snapToGrid w:val="0"/>
              <w:sz w:val="16"/>
              <w:lang w:val="es-ES"/>
            </w:rPr>
            <w:t>4</w:t>
          </w:r>
          <w:r w:rsidRPr="00D204B5">
            <w:rPr>
              <w:b/>
              <w:bCs/>
              <w:snapToGrid w:val="0"/>
              <w:sz w:val="16"/>
            </w:rPr>
            <w:fldChar w:fldCharType="end"/>
          </w:r>
        </w:p>
      </w:tc>
    </w:tr>
  </w:tbl>
  <w:p w14:paraId="3B40FE2D" w14:textId="77777777" w:rsidR="00E17134" w:rsidRDefault="00E17134" w:rsidP="00E171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14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1"/>
      <w:gridCol w:w="1843"/>
    </w:tblGrid>
    <w:tr w:rsidR="00322B88" w14:paraId="18E01949" w14:textId="77777777" w:rsidTr="0091494B">
      <w:trPr>
        <w:cantSplit/>
        <w:trHeight w:val="250"/>
      </w:trPr>
      <w:tc>
        <w:tcPr>
          <w:tcW w:w="6871" w:type="dxa"/>
          <w:vMerge w:val="restart"/>
          <w:vAlign w:val="center"/>
        </w:tcPr>
        <w:p w14:paraId="453098EA" w14:textId="77777777" w:rsidR="00322B88" w:rsidRDefault="00322B88" w:rsidP="00322B88">
          <w:pPr>
            <w:pStyle w:val="Ttulo"/>
            <w:rPr>
              <w:sz w:val="24"/>
              <w:szCs w:val="24"/>
            </w:rPr>
          </w:pPr>
        </w:p>
        <w:p w14:paraId="33DBCE91" w14:textId="1D7AA093" w:rsidR="00322B88" w:rsidRDefault="0091494B" w:rsidP="00322B88">
          <w:pPr>
            <w:pStyle w:val="Ttulo"/>
            <w:rPr>
              <w:sz w:val="24"/>
              <w:szCs w:val="24"/>
            </w:rPr>
          </w:pPr>
          <w:r>
            <w:rPr>
              <w:bCs/>
              <w:sz w:val="28"/>
            </w:rPr>
            <w:t xml:space="preserve">GUÍA PARA ELABORAR EL </w:t>
          </w:r>
          <w:r w:rsidRPr="00884CE3">
            <w:rPr>
              <w:bCs/>
              <w:sz w:val="28"/>
            </w:rPr>
            <w:t xml:space="preserve">PROGRAMA </w:t>
          </w:r>
          <w:r>
            <w:rPr>
              <w:bCs/>
              <w:sz w:val="28"/>
            </w:rPr>
            <w:t>DE RACIONAMIENTO</w:t>
          </w:r>
        </w:p>
      </w:tc>
      <w:tc>
        <w:tcPr>
          <w:tcW w:w="1843" w:type="dxa"/>
        </w:tcPr>
        <w:p w14:paraId="129052B1" w14:textId="77777777" w:rsidR="00322B88" w:rsidRDefault="00322B88" w:rsidP="00322B88">
          <w:pPr>
            <w:pStyle w:val="Encabezado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Código</w:t>
          </w:r>
        </w:p>
        <w:p w14:paraId="45C104C0" w14:textId="644506DF" w:rsidR="00322B88" w:rsidRDefault="00322B88" w:rsidP="00322B88">
          <w:pPr>
            <w:pStyle w:val="Encabezado"/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GU01-</w:t>
          </w:r>
          <w:r w:rsidR="0091494B">
            <w:rPr>
              <w:b/>
              <w:sz w:val="20"/>
              <w:lang w:val="en-US"/>
            </w:rPr>
            <w:t>PT-01</w:t>
          </w:r>
        </w:p>
      </w:tc>
    </w:tr>
    <w:tr w:rsidR="00322B88" w14:paraId="192ED8B1" w14:textId="77777777" w:rsidTr="00275A85">
      <w:trPr>
        <w:cantSplit/>
        <w:trHeight w:val="250"/>
      </w:trPr>
      <w:tc>
        <w:tcPr>
          <w:tcW w:w="6871" w:type="dxa"/>
          <w:vMerge/>
        </w:tcPr>
        <w:p w14:paraId="19CAD920" w14:textId="77777777" w:rsidR="00322B88" w:rsidRDefault="00322B88" w:rsidP="00322B88">
          <w:pPr>
            <w:pStyle w:val="Encabezado"/>
            <w:rPr>
              <w:b/>
              <w:sz w:val="20"/>
              <w:lang w:val="en-US"/>
            </w:rPr>
          </w:pPr>
        </w:p>
      </w:tc>
      <w:tc>
        <w:tcPr>
          <w:tcW w:w="1843" w:type="dxa"/>
        </w:tcPr>
        <w:p w14:paraId="15F864F6" w14:textId="77777777" w:rsidR="00322B88" w:rsidRDefault="00322B88" w:rsidP="00322B88">
          <w:pPr>
            <w:pStyle w:val="Encabezado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Versión</w:t>
          </w:r>
        </w:p>
        <w:p w14:paraId="7545FE04" w14:textId="77777777" w:rsidR="00322B88" w:rsidRDefault="00322B88" w:rsidP="00322B88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1</w:t>
          </w:r>
        </w:p>
      </w:tc>
    </w:tr>
    <w:tr w:rsidR="00322B88" w14:paraId="32BFE1F2" w14:textId="77777777" w:rsidTr="00275A85">
      <w:trPr>
        <w:cantSplit/>
        <w:trHeight w:val="250"/>
      </w:trPr>
      <w:tc>
        <w:tcPr>
          <w:tcW w:w="6871" w:type="dxa"/>
          <w:vMerge/>
        </w:tcPr>
        <w:p w14:paraId="4D8A77B0" w14:textId="77777777" w:rsidR="00322B88" w:rsidRDefault="00322B88" w:rsidP="00322B88">
          <w:pPr>
            <w:pStyle w:val="Encabezado"/>
            <w:rPr>
              <w:b/>
              <w:sz w:val="20"/>
            </w:rPr>
          </w:pPr>
        </w:p>
      </w:tc>
      <w:tc>
        <w:tcPr>
          <w:tcW w:w="1843" w:type="dxa"/>
        </w:tcPr>
        <w:p w14:paraId="541E8ACE" w14:textId="1DC36BEF" w:rsidR="00322B88" w:rsidRDefault="00322B88" w:rsidP="00322B88">
          <w:pPr>
            <w:pStyle w:val="Encabezado"/>
            <w:jc w:val="center"/>
            <w:rPr>
              <w:b/>
              <w:sz w:val="20"/>
            </w:rPr>
          </w:pPr>
          <w:r w:rsidRPr="00727904">
            <w:rPr>
              <w:b/>
              <w:sz w:val="20"/>
              <w:lang w:val="es-ES"/>
            </w:rPr>
            <w:t xml:space="preserve">Página </w:t>
          </w:r>
          <w:r w:rsidRPr="00727904">
            <w:rPr>
              <w:b/>
              <w:bCs/>
              <w:sz w:val="20"/>
            </w:rPr>
            <w:fldChar w:fldCharType="begin"/>
          </w:r>
          <w:r w:rsidRPr="00727904">
            <w:rPr>
              <w:b/>
              <w:bCs/>
              <w:sz w:val="20"/>
            </w:rPr>
            <w:instrText>PAGE  \* Arabic  \* MERGEFORMAT</w:instrText>
          </w:r>
          <w:r w:rsidRPr="00727904">
            <w:rPr>
              <w:b/>
              <w:bCs/>
              <w:sz w:val="20"/>
            </w:rPr>
            <w:fldChar w:fldCharType="separate"/>
          </w:r>
          <w:r w:rsidR="009B55D9" w:rsidRPr="009B55D9">
            <w:rPr>
              <w:b/>
              <w:bCs/>
              <w:noProof/>
              <w:sz w:val="20"/>
              <w:lang w:val="es-ES"/>
            </w:rPr>
            <w:t>1</w:t>
          </w:r>
          <w:r w:rsidRPr="00727904">
            <w:rPr>
              <w:b/>
              <w:bCs/>
              <w:sz w:val="20"/>
            </w:rPr>
            <w:fldChar w:fldCharType="end"/>
          </w:r>
          <w:r w:rsidRPr="00727904">
            <w:rPr>
              <w:b/>
              <w:sz w:val="20"/>
              <w:lang w:val="es-ES"/>
            </w:rPr>
            <w:t xml:space="preserve"> de </w:t>
          </w:r>
          <w:r w:rsidRPr="00727904">
            <w:rPr>
              <w:b/>
              <w:bCs/>
              <w:sz w:val="20"/>
            </w:rPr>
            <w:fldChar w:fldCharType="begin"/>
          </w:r>
          <w:r w:rsidRPr="00727904">
            <w:rPr>
              <w:b/>
              <w:bCs/>
              <w:sz w:val="20"/>
            </w:rPr>
            <w:instrText>NUMPAGES  \* Arabic  \* MERGEFORMAT</w:instrText>
          </w:r>
          <w:r w:rsidRPr="00727904">
            <w:rPr>
              <w:b/>
              <w:bCs/>
              <w:sz w:val="20"/>
            </w:rPr>
            <w:fldChar w:fldCharType="separate"/>
          </w:r>
          <w:r w:rsidR="009B55D9" w:rsidRPr="009B55D9">
            <w:rPr>
              <w:b/>
              <w:bCs/>
              <w:noProof/>
              <w:sz w:val="20"/>
              <w:lang w:val="es-ES"/>
            </w:rPr>
            <w:t>4</w:t>
          </w:r>
          <w:r w:rsidRPr="00727904">
            <w:rPr>
              <w:b/>
              <w:bCs/>
              <w:sz w:val="20"/>
            </w:rPr>
            <w:fldChar w:fldCharType="end"/>
          </w:r>
        </w:p>
      </w:tc>
    </w:tr>
  </w:tbl>
  <w:p w14:paraId="5395DC79" w14:textId="77777777" w:rsidR="00322B88" w:rsidRDefault="00322B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0D7"/>
    <w:multiLevelType w:val="hybridMultilevel"/>
    <w:tmpl w:val="FCCE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DA"/>
    <w:rsid w:val="000003E2"/>
    <w:rsid w:val="000450C7"/>
    <w:rsid w:val="000470CC"/>
    <w:rsid w:val="000475DF"/>
    <w:rsid w:val="00083ACB"/>
    <w:rsid w:val="00097D7F"/>
    <w:rsid w:val="000B3945"/>
    <w:rsid w:val="001166B9"/>
    <w:rsid w:val="001276B7"/>
    <w:rsid w:val="00155A73"/>
    <w:rsid w:val="001803DC"/>
    <w:rsid w:val="00180B7D"/>
    <w:rsid w:val="001D60BF"/>
    <w:rsid w:val="002205E5"/>
    <w:rsid w:val="00222E33"/>
    <w:rsid w:val="002260AA"/>
    <w:rsid w:val="002266E8"/>
    <w:rsid w:val="0027568A"/>
    <w:rsid w:val="002D18DA"/>
    <w:rsid w:val="002F6FEA"/>
    <w:rsid w:val="00322B88"/>
    <w:rsid w:val="00330748"/>
    <w:rsid w:val="003359C9"/>
    <w:rsid w:val="00384DBB"/>
    <w:rsid w:val="004630B8"/>
    <w:rsid w:val="004C3097"/>
    <w:rsid w:val="004E1C88"/>
    <w:rsid w:val="00500768"/>
    <w:rsid w:val="005073DD"/>
    <w:rsid w:val="0059375F"/>
    <w:rsid w:val="006034E0"/>
    <w:rsid w:val="0062312B"/>
    <w:rsid w:val="00633215"/>
    <w:rsid w:val="0064143B"/>
    <w:rsid w:val="00727904"/>
    <w:rsid w:val="007377D4"/>
    <w:rsid w:val="00745CC3"/>
    <w:rsid w:val="0075533A"/>
    <w:rsid w:val="00766C34"/>
    <w:rsid w:val="007738D1"/>
    <w:rsid w:val="007A2D79"/>
    <w:rsid w:val="007D5778"/>
    <w:rsid w:val="007D6BAE"/>
    <w:rsid w:val="00825096"/>
    <w:rsid w:val="00841BBB"/>
    <w:rsid w:val="00853B52"/>
    <w:rsid w:val="008722A4"/>
    <w:rsid w:val="00884CE3"/>
    <w:rsid w:val="0091494B"/>
    <w:rsid w:val="00937F9B"/>
    <w:rsid w:val="0096571F"/>
    <w:rsid w:val="00987E82"/>
    <w:rsid w:val="009B55D9"/>
    <w:rsid w:val="009C3803"/>
    <w:rsid w:val="009C53B1"/>
    <w:rsid w:val="009D1B01"/>
    <w:rsid w:val="00A01C29"/>
    <w:rsid w:val="00A027DA"/>
    <w:rsid w:val="00A44C8E"/>
    <w:rsid w:val="00AE0FA9"/>
    <w:rsid w:val="00B275CE"/>
    <w:rsid w:val="00B41C9F"/>
    <w:rsid w:val="00B5063F"/>
    <w:rsid w:val="00B64A19"/>
    <w:rsid w:val="00BA3635"/>
    <w:rsid w:val="00C00075"/>
    <w:rsid w:val="00C114B1"/>
    <w:rsid w:val="00C14A6E"/>
    <w:rsid w:val="00C26F34"/>
    <w:rsid w:val="00C42146"/>
    <w:rsid w:val="00C46E6C"/>
    <w:rsid w:val="00C6609A"/>
    <w:rsid w:val="00CB686B"/>
    <w:rsid w:val="00CD40A0"/>
    <w:rsid w:val="00CE4C3A"/>
    <w:rsid w:val="00D204B5"/>
    <w:rsid w:val="00D71799"/>
    <w:rsid w:val="00D81DA6"/>
    <w:rsid w:val="00DA7E26"/>
    <w:rsid w:val="00DC5B39"/>
    <w:rsid w:val="00DD1FAF"/>
    <w:rsid w:val="00E17134"/>
    <w:rsid w:val="00E85967"/>
    <w:rsid w:val="00EB5CF7"/>
    <w:rsid w:val="00ED7573"/>
    <w:rsid w:val="00F30A1F"/>
    <w:rsid w:val="00F756C4"/>
    <w:rsid w:val="00FA5670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0BDEE5"/>
  <w15:docId w15:val="{0DF3B060-321D-4A5A-BFE4-1398C2F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2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0B394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0B39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63321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E17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134"/>
  </w:style>
  <w:style w:type="paragraph" w:styleId="Piedepgina">
    <w:name w:val="footer"/>
    <w:basedOn w:val="Normal"/>
    <w:link w:val="PiedepginaCar"/>
    <w:unhideWhenUsed/>
    <w:qFormat/>
    <w:rsid w:val="00E17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134"/>
  </w:style>
  <w:style w:type="character" w:styleId="Refdecomentario">
    <w:name w:val="annotation reference"/>
    <w:basedOn w:val="Fuentedeprrafopredeter"/>
    <w:uiPriority w:val="99"/>
    <w:semiHidden/>
    <w:unhideWhenUsed/>
    <w:rsid w:val="002D1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1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1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1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18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8D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D40A0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7568A"/>
    <w:rPr>
      <w:b/>
      <w:bCs/>
    </w:rPr>
  </w:style>
  <w:style w:type="character" w:customStyle="1" w:styleId="ui-provider">
    <w:name w:val="ui-provider"/>
    <w:basedOn w:val="Fuentedeprrafopredeter"/>
    <w:rsid w:val="0027568A"/>
  </w:style>
  <w:style w:type="paragraph" w:styleId="Ttulo">
    <w:name w:val="Title"/>
    <w:basedOn w:val="Normal"/>
    <w:link w:val="TtuloCar"/>
    <w:qFormat/>
    <w:rsid w:val="00727904"/>
    <w:pPr>
      <w:spacing w:after="120" w:line="240" w:lineRule="auto"/>
      <w:jc w:val="center"/>
    </w:pPr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727904"/>
    <w:rPr>
      <w:rFonts w:ascii="Arial" w:eastAsia="Times New Roman" w:hAnsi="Arial" w:cs="Times New Roman"/>
      <w:b/>
      <w:szCs w:val="20"/>
      <w:lang w:val="es-MX" w:eastAsia="es-ES"/>
    </w:rPr>
  </w:style>
  <w:style w:type="paragraph" w:styleId="TDC1">
    <w:name w:val="toc 1"/>
    <w:basedOn w:val="Normal"/>
    <w:next w:val="Normal"/>
    <w:autoRedefine/>
    <w:semiHidden/>
    <w:qFormat/>
    <w:rsid w:val="00D204B5"/>
    <w:pPr>
      <w:tabs>
        <w:tab w:val="left" w:pos="0"/>
        <w:tab w:val="left" w:pos="1276"/>
        <w:tab w:val="right" w:leader="dot" w:pos="9356"/>
      </w:tabs>
      <w:spacing w:before="120" w:after="120" w:line="240" w:lineRule="auto"/>
      <w:ind w:right="332"/>
      <w:jc w:val="center"/>
    </w:pPr>
    <w:rPr>
      <w:rFonts w:ascii="Arial" w:eastAsia="Times New Roman" w:hAnsi="Arial" w:cs="Arial"/>
      <w:b/>
      <w:bCs/>
      <w:caps/>
      <w:sz w:val="24"/>
      <w:szCs w:val="24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cb7e63-78c0-495e-a98d-88da1cef64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287FD6A904A94BABE79D27D1B6205C" ma:contentTypeVersion="18" ma:contentTypeDescription="Crear nuevo documento." ma:contentTypeScope="" ma:versionID="3fb60f2d24bb763a9b4d4be518d03d10">
  <xsd:schema xmlns:xsd="http://www.w3.org/2001/XMLSchema" xmlns:xs="http://www.w3.org/2001/XMLSchema" xmlns:p="http://schemas.microsoft.com/office/2006/metadata/properties" xmlns:ns3="7f5d3f44-7475-491e-b8fa-613f66cb3b34" xmlns:ns4="6dcb7e63-78c0-495e-a98d-88da1cef64ee" targetNamespace="http://schemas.microsoft.com/office/2006/metadata/properties" ma:root="true" ma:fieldsID="eca6399e2e745dc70e6dc062b9436c70" ns3:_="" ns4:_="">
    <xsd:import namespace="7f5d3f44-7475-491e-b8fa-613f66cb3b34"/>
    <xsd:import namespace="6dcb7e63-78c0-495e-a98d-88da1cef6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3f44-7475-491e-b8fa-613f66cb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b7e63-78c0-495e-a98d-88da1cef6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7F21-4EBC-4682-8152-467B52F80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0562C-E780-4CAD-BDC3-CAA8883A8DE8}">
  <ds:schemaRefs>
    <ds:schemaRef ds:uri="7f5d3f44-7475-491e-b8fa-613f66cb3b3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cb7e63-78c0-495e-a98d-88da1cef64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05B2E8-1202-4B39-8DE4-E210E183A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d3f44-7475-491e-b8fa-613f66cb3b34"/>
    <ds:schemaRef ds:uri="6dcb7e63-78c0-495e-a98d-88da1cef6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509AA-3503-42D1-80F9-80BE4ECA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5988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Nacional de Control de Energía - ICE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Rojas Rodríguez Christian</dc:creator>
  <cp:lastModifiedBy>CENCE</cp:lastModifiedBy>
  <cp:revision>2</cp:revision>
  <dcterms:created xsi:type="dcterms:W3CDTF">2024-02-29T22:59:00Z</dcterms:created>
  <dcterms:modified xsi:type="dcterms:W3CDTF">2024-02-29T22:59:00Z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0x010100CE287FD6A904A94BABE79D27D1B6205C</vt:lpwstr>
  </property>
</Properties>
</file>